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7"/>
        <w:gridCol w:w="425"/>
        <w:gridCol w:w="465"/>
        <w:gridCol w:w="414"/>
        <w:gridCol w:w="155"/>
        <w:gridCol w:w="268"/>
        <w:gridCol w:w="302"/>
        <w:gridCol w:w="554"/>
        <w:gridCol w:w="16"/>
        <w:gridCol w:w="118"/>
        <w:gridCol w:w="151"/>
        <w:gridCol w:w="300"/>
        <w:gridCol w:w="353"/>
        <w:gridCol w:w="217"/>
        <w:gridCol w:w="570"/>
        <w:gridCol w:w="151"/>
        <w:gridCol w:w="133"/>
        <w:gridCol w:w="286"/>
        <w:gridCol w:w="113"/>
        <w:gridCol w:w="26"/>
        <w:gridCol w:w="379"/>
        <w:gridCol w:w="51"/>
        <w:gridCol w:w="570"/>
        <w:gridCol w:w="317"/>
        <w:gridCol w:w="253"/>
        <w:gridCol w:w="570"/>
        <w:gridCol w:w="115"/>
        <w:gridCol w:w="1423"/>
        <w:gridCol w:w="10"/>
      </w:tblGrid>
      <w:tr w:rsidR="006A701A" w:rsidRPr="00687093" w14:paraId="32CFDA89" w14:textId="77777777" w:rsidTr="00903698">
        <w:trPr>
          <w:trHeight w:val="1611"/>
        </w:trPr>
        <w:tc>
          <w:tcPr>
            <w:tcW w:w="6834" w:type="dxa"/>
            <w:gridSpan w:val="18"/>
          </w:tcPr>
          <w:p w14:paraId="44844E9D" w14:textId="2A2CF719" w:rsidR="006A701A" w:rsidRPr="00687093" w:rsidRDefault="006A701A" w:rsidP="00C92D51">
            <w:pPr>
              <w:spacing w:line="240" w:lineRule="auto"/>
              <w:ind w:hanging="45"/>
              <w:rPr>
                <w:rFonts w:ascii="Times New Roman" w:hAnsi="Times New Roman"/>
                <w:color w:val="000000"/>
              </w:rPr>
            </w:pPr>
            <w:bookmarkStart w:id="0" w:name="t1"/>
            <w:r w:rsidRPr="00C07F14">
              <w:rPr>
                <w:rFonts w:ascii="Times New Roman" w:hAnsi="Times New Roman"/>
                <w:b/>
                <w:color w:val="000000"/>
              </w:rPr>
              <w:t xml:space="preserve">Nazwa </w:t>
            </w:r>
            <w:r w:rsidR="001B75D8" w:rsidRPr="00687093">
              <w:rPr>
                <w:rFonts w:ascii="Times New Roman" w:hAnsi="Times New Roman"/>
                <w:b/>
                <w:color w:val="000000"/>
              </w:rPr>
              <w:t>projektu</w:t>
            </w:r>
          </w:p>
          <w:p w14:paraId="22C8C350" w14:textId="4BFF6965" w:rsidR="00E70E96" w:rsidRDefault="0051064B" w:rsidP="00C92D51">
            <w:pPr>
              <w:spacing w:line="240" w:lineRule="auto"/>
              <w:ind w:hanging="45"/>
              <w:rPr>
                <w:rFonts w:ascii="Times New Roman" w:hAnsi="Times New Roman"/>
                <w:bCs/>
                <w:color w:val="000000"/>
              </w:rPr>
            </w:pPr>
            <w:r w:rsidRPr="00687093">
              <w:rPr>
                <w:rFonts w:ascii="Times New Roman" w:hAnsi="Times New Roman"/>
                <w:bCs/>
                <w:color w:val="000000"/>
              </w:rPr>
              <w:t xml:space="preserve">Projekt ustawy </w:t>
            </w:r>
            <w:r w:rsidR="00E70E96" w:rsidRPr="00687093">
              <w:rPr>
                <w:rFonts w:ascii="Times New Roman" w:hAnsi="Times New Roman"/>
                <w:bCs/>
                <w:color w:val="000000"/>
              </w:rPr>
              <w:t xml:space="preserve">o zmianie ustawy o odnawialnych źródłach energii oraz </w:t>
            </w:r>
            <w:r w:rsidR="00057646" w:rsidRPr="00687093">
              <w:rPr>
                <w:rFonts w:ascii="Times New Roman" w:hAnsi="Times New Roman"/>
                <w:bCs/>
                <w:color w:val="000000"/>
              </w:rPr>
              <w:t>niektórych innych ustaw</w:t>
            </w:r>
          </w:p>
          <w:p w14:paraId="207B23C8" w14:textId="77777777" w:rsidR="009B19D0" w:rsidRPr="00687093" w:rsidRDefault="009B19D0" w:rsidP="00C92D51">
            <w:pPr>
              <w:spacing w:line="240" w:lineRule="auto"/>
              <w:ind w:hanging="45"/>
              <w:rPr>
                <w:rFonts w:ascii="Times New Roman" w:hAnsi="Times New Roman"/>
                <w:bCs/>
                <w:color w:val="000000"/>
              </w:rPr>
            </w:pPr>
          </w:p>
          <w:p w14:paraId="0AF9AB95" w14:textId="77777777" w:rsidR="00A355BD" w:rsidRPr="00687093" w:rsidRDefault="006A701A" w:rsidP="00C92D51">
            <w:pPr>
              <w:spacing w:line="240" w:lineRule="auto"/>
              <w:ind w:hanging="45"/>
              <w:rPr>
                <w:rFonts w:ascii="Times New Roman" w:hAnsi="Times New Roman"/>
                <w:b/>
                <w:color w:val="000000"/>
              </w:rPr>
            </w:pPr>
            <w:r w:rsidRPr="00687093">
              <w:rPr>
                <w:rFonts w:ascii="Times New Roman" w:hAnsi="Times New Roman"/>
                <w:b/>
                <w:color w:val="000000"/>
              </w:rPr>
              <w:t>Ministerstwo wiodące i ministerstwa współpracujące</w:t>
            </w:r>
            <w:bookmarkEnd w:id="0"/>
          </w:p>
          <w:p w14:paraId="27382C9A" w14:textId="449B4BE9" w:rsidR="003340C5" w:rsidRPr="00687093" w:rsidRDefault="003340C5" w:rsidP="00C92D51">
            <w:pPr>
              <w:spacing w:line="240" w:lineRule="auto"/>
              <w:ind w:hanging="34"/>
              <w:rPr>
                <w:rFonts w:ascii="Times New Roman" w:hAnsi="Times New Roman"/>
                <w:color w:val="000000"/>
              </w:rPr>
            </w:pPr>
            <w:r w:rsidRPr="00687093">
              <w:rPr>
                <w:rFonts w:ascii="Times New Roman" w:hAnsi="Times New Roman"/>
                <w:color w:val="000000"/>
              </w:rPr>
              <w:t xml:space="preserve">Ministerstwo </w:t>
            </w:r>
            <w:r w:rsidR="00114992" w:rsidRPr="00687093">
              <w:rPr>
                <w:rFonts w:ascii="Times New Roman" w:hAnsi="Times New Roman"/>
                <w:color w:val="000000"/>
              </w:rPr>
              <w:t>Klimatu</w:t>
            </w:r>
            <w:r w:rsidR="001271DC" w:rsidRPr="00687093">
              <w:rPr>
                <w:rFonts w:ascii="Times New Roman" w:hAnsi="Times New Roman"/>
                <w:color w:val="000000"/>
              </w:rPr>
              <w:t xml:space="preserve"> i Środowiska</w:t>
            </w:r>
          </w:p>
          <w:p w14:paraId="3113CFA3" w14:textId="77777777" w:rsidR="00D15D1C" w:rsidRPr="00687093" w:rsidRDefault="00D15D1C" w:rsidP="00C92D51">
            <w:pPr>
              <w:spacing w:line="240" w:lineRule="auto"/>
              <w:rPr>
                <w:rFonts w:ascii="Times New Roman" w:hAnsi="Times New Roman"/>
                <w:b/>
              </w:rPr>
            </w:pPr>
          </w:p>
          <w:p w14:paraId="601162D3" w14:textId="77777777" w:rsidR="001B3460" w:rsidRPr="00687093" w:rsidRDefault="001B3460" w:rsidP="00C92D51">
            <w:pPr>
              <w:spacing w:line="240" w:lineRule="auto"/>
              <w:rPr>
                <w:rFonts w:ascii="Times New Roman" w:hAnsi="Times New Roman"/>
                <w:b/>
              </w:rPr>
            </w:pPr>
            <w:r w:rsidRPr="00687093">
              <w:rPr>
                <w:rFonts w:ascii="Times New Roman" w:hAnsi="Times New Roman"/>
                <w:b/>
              </w:rPr>
              <w:t xml:space="preserve">Osoba odpowiedzialna za projekt w randze Ministra, Sekretarza Stanu lub Podsekretarza Stanu </w:t>
            </w:r>
          </w:p>
          <w:p w14:paraId="160924DA" w14:textId="02EEDC5E" w:rsidR="00985A1E" w:rsidRPr="00687093" w:rsidRDefault="00114992" w:rsidP="00C92D51">
            <w:pPr>
              <w:spacing w:line="240" w:lineRule="auto"/>
              <w:rPr>
                <w:rFonts w:ascii="Times New Roman" w:hAnsi="Times New Roman"/>
              </w:rPr>
            </w:pPr>
            <w:r w:rsidRPr="00687093">
              <w:rPr>
                <w:rFonts w:ascii="Times New Roman" w:hAnsi="Times New Roman"/>
              </w:rPr>
              <w:t>Ireneusz Zyska</w:t>
            </w:r>
            <w:r w:rsidR="00C07F14" w:rsidRPr="00687093">
              <w:rPr>
                <w:rFonts w:ascii="Times New Roman" w:hAnsi="Times New Roman"/>
              </w:rPr>
              <w:t xml:space="preserve"> - </w:t>
            </w:r>
            <w:r w:rsidRPr="00687093">
              <w:rPr>
                <w:rFonts w:ascii="Times New Roman" w:hAnsi="Times New Roman"/>
              </w:rPr>
              <w:t>Sekretarz Stanu</w:t>
            </w:r>
            <w:r w:rsidR="00C07F14" w:rsidRPr="00687093">
              <w:rPr>
                <w:rFonts w:ascii="Times New Roman" w:hAnsi="Times New Roman"/>
              </w:rPr>
              <w:t xml:space="preserve">, </w:t>
            </w:r>
            <w:r w:rsidR="00E70E96" w:rsidRPr="00687093">
              <w:rPr>
                <w:rFonts w:ascii="Times New Roman" w:hAnsi="Times New Roman"/>
              </w:rPr>
              <w:t>Pełnomocnik Rządu d</w:t>
            </w:r>
            <w:r w:rsidR="00745DA0" w:rsidRPr="00687093">
              <w:rPr>
                <w:rFonts w:ascii="Times New Roman" w:hAnsi="Times New Roman"/>
              </w:rPr>
              <w:t>o spraw</w:t>
            </w:r>
            <w:r w:rsidR="00E70E96" w:rsidRPr="00687093">
              <w:rPr>
                <w:rFonts w:ascii="Times New Roman" w:hAnsi="Times New Roman"/>
              </w:rPr>
              <w:t xml:space="preserve"> Odnawialnych Źródeł Energii</w:t>
            </w:r>
          </w:p>
          <w:p w14:paraId="22D77EF7" w14:textId="77777777" w:rsidR="00493488" w:rsidRPr="00687093" w:rsidRDefault="00493488" w:rsidP="00493488">
            <w:pPr>
              <w:spacing w:line="240" w:lineRule="auto"/>
              <w:rPr>
                <w:rFonts w:ascii="Times New Roman" w:hAnsi="Times New Roman"/>
              </w:rPr>
            </w:pPr>
            <w:r>
              <w:rPr>
                <w:rFonts w:ascii="Times New Roman" w:hAnsi="Times New Roman"/>
              </w:rPr>
              <w:t>Jacek Ozdoba – Sekretarz Stanu, Ministerstwo Klimatu i Środowiska</w:t>
            </w:r>
          </w:p>
          <w:p w14:paraId="3125674F" w14:textId="77777777" w:rsidR="000A4308" w:rsidRPr="00687093" w:rsidRDefault="000A4308">
            <w:pPr>
              <w:spacing w:line="240" w:lineRule="auto"/>
              <w:rPr>
                <w:rFonts w:ascii="Times New Roman" w:hAnsi="Times New Roman"/>
              </w:rPr>
            </w:pPr>
          </w:p>
          <w:p w14:paraId="21006F05" w14:textId="77777777" w:rsidR="00A96DBB" w:rsidRPr="00687093" w:rsidRDefault="00A96DBB">
            <w:pPr>
              <w:spacing w:line="240" w:lineRule="auto"/>
              <w:rPr>
                <w:rFonts w:ascii="Times New Roman" w:hAnsi="Times New Roman"/>
                <w:b/>
              </w:rPr>
            </w:pPr>
            <w:r w:rsidRPr="00687093">
              <w:rPr>
                <w:rFonts w:ascii="Times New Roman" w:hAnsi="Times New Roman"/>
                <w:b/>
              </w:rPr>
              <w:t>Osob</w:t>
            </w:r>
            <w:r w:rsidR="00057646" w:rsidRPr="00687093">
              <w:rPr>
                <w:rFonts w:ascii="Times New Roman" w:hAnsi="Times New Roman"/>
                <w:b/>
              </w:rPr>
              <w:t>y</w:t>
            </w:r>
            <w:r w:rsidRPr="00687093">
              <w:rPr>
                <w:rFonts w:ascii="Times New Roman" w:hAnsi="Times New Roman"/>
                <w:b/>
              </w:rPr>
              <w:t xml:space="preserve"> do kontaktu</w:t>
            </w:r>
          </w:p>
          <w:p w14:paraId="7F529B23" w14:textId="5F01C8E0" w:rsidR="00066398" w:rsidRPr="000D3F79" w:rsidRDefault="00066398">
            <w:pPr>
              <w:spacing w:line="240" w:lineRule="auto"/>
              <w:rPr>
                <w:rFonts w:ascii="Times New Roman" w:hAnsi="Times New Roman"/>
              </w:rPr>
            </w:pPr>
            <w:r>
              <w:rPr>
                <w:rFonts w:ascii="Times New Roman" w:hAnsi="Times New Roman"/>
              </w:rPr>
              <w:t xml:space="preserve">W zakresie </w:t>
            </w:r>
            <w:r w:rsidR="009E16C3">
              <w:rPr>
                <w:rFonts w:ascii="Times New Roman" w:hAnsi="Times New Roman"/>
              </w:rPr>
              <w:t>obszaru ciepłownictwo</w:t>
            </w:r>
            <w:r>
              <w:rPr>
                <w:rFonts w:ascii="Times New Roman" w:hAnsi="Times New Roman"/>
              </w:rPr>
              <w:t>:</w:t>
            </w:r>
            <w:r w:rsidR="004E6D81">
              <w:rPr>
                <w:rFonts w:ascii="Times New Roman" w:hAnsi="Times New Roman"/>
              </w:rPr>
              <w:t xml:space="preserve"> </w:t>
            </w:r>
            <w:r>
              <w:rPr>
                <w:rFonts w:ascii="Times New Roman" w:hAnsi="Times New Roman"/>
              </w:rPr>
              <w:t xml:space="preserve">Piotr </w:t>
            </w:r>
            <w:proofErr w:type="spellStart"/>
            <w:r>
              <w:rPr>
                <w:rFonts w:ascii="Times New Roman" w:hAnsi="Times New Roman"/>
              </w:rPr>
              <w:t>Sprzączak</w:t>
            </w:r>
            <w:proofErr w:type="spellEnd"/>
            <w:r>
              <w:rPr>
                <w:rFonts w:ascii="Times New Roman" w:hAnsi="Times New Roman"/>
              </w:rPr>
              <w:t xml:space="preserve"> </w:t>
            </w:r>
            <w:r w:rsidR="00CA340B">
              <w:rPr>
                <w:rFonts w:ascii="Times New Roman" w:hAnsi="Times New Roman"/>
              </w:rPr>
              <w:t>–</w:t>
            </w:r>
            <w:r>
              <w:rPr>
                <w:rFonts w:ascii="Times New Roman" w:hAnsi="Times New Roman"/>
              </w:rPr>
              <w:t xml:space="preserve"> </w:t>
            </w:r>
            <w:r w:rsidR="00CA340B">
              <w:rPr>
                <w:rFonts w:ascii="Times New Roman" w:hAnsi="Times New Roman"/>
              </w:rPr>
              <w:t>Dyrektor Departamentu Ciepłownictwa</w:t>
            </w:r>
            <w:r w:rsidR="004E6D81">
              <w:rPr>
                <w:rFonts w:ascii="Times New Roman" w:hAnsi="Times New Roman"/>
              </w:rPr>
              <w:t xml:space="preserve">, </w:t>
            </w:r>
            <w:r w:rsidR="00CA340B" w:rsidRPr="000D3F79">
              <w:rPr>
                <w:rFonts w:ascii="Times New Roman" w:hAnsi="Times New Roman"/>
              </w:rPr>
              <w:t xml:space="preserve">e-mail: </w:t>
            </w:r>
            <w:hyperlink r:id="rId8" w:history="1">
              <w:r w:rsidR="009E16C3" w:rsidRPr="005C1D85">
                <w:rPr>
                  <w:rStyle w:val="Hipercze"/>
                  <w:rFonts w:ascii="Times New Roman" w:hAnsi="Times New Roman"/>
                </w:rPr>
                <w:t>Piotr.Sprzaczak@klimat.gov.pl</w:t>
              </w:r>
            </w:hyperlink>
            <w:r w:rsidR="009E16C3">
              <w:rPr>
                <w:rFonts w:ascii="Times New Roman" w:hAnsi="Times New Roman"/>
              </w:rPr>
              <w:t xml:space="preserve"> </w:t>
            </w:r>
          </w:p>
          <w:p w14:paraId="51D7ABE5" w14:textId="77777777" w:rsidR="005B738B" w:rsidRDefault="00E63408">
            <w:pPr>
              <w:spacing w:line="240" w:lineRule="auto"/>
              <w:rPr>
                <w:rFonts w:ascii="Times New Roman" w:hAnsi="Times New Roman"/>
              </w:rPr>
            </w:pPr>
            <w:r>
              <w:rPr>
                <w:rFonts w:ascii="Times New Roman" w:hAnsi="Times New Roman"/>
              </w:rPr>
              <w:t>W pozostałym zakresie</w:t>
            </w:r>
            <w:r w:rsidR="005B738B">
              <w:rPr>
                <w:rFonts w:ascii="Times New Roman" w:hAnsi="Times New Roman"/>
              </w:rPr>
              <w:t>:</w:t>
            </w:r>
          </w:p>
          <w:p w14:paraId="4AEEFB92" w14:textId="7A9C4E03" w:rsidR="00E63408" w:rsidRPr="005B738B" w:rsidRDefault="00E63408" w:rsidP="005B738B">
            <w:pPr>
              <w:pStyle w:val="Akapitzlist"/>
              <w:numPr>
                <w:ilvl w:val="0"/>
                <w:numId w:val="190"/>
              </w:numPr>
              <w:spacing w:line="240" w:lineRule="auto"/>
              <w:ind w:left="202" w:hanging="142"/>
              <w:rPr>
                <w:rStyle w:val="Hipercze"/>
                <w:rFonts w:ascii="Times New Roman" w:hAnsi="Times New Roman"/>
              </w:rPr>
            </w:pPr>
            <w:r w:rsidRPr="00870F69">
              <w:rPr>
                <w:rFonts w:ascii="Times New Roman" w:hAnsi="Times New Roman"/>
              </w:rPr>
              <w:t xml:space="preserve">Marcin </w:t>
            </w:r>
            <w:proofErr w:type="spellStart"/>
            <w:r w:rsidRPr="00870F69">
              <w:rPr>
                <w:rFonts w:ascii="Times New Roman" w:hAnsi="Times New Roman"/>
              </w:rPr>
              <w:t>Ścigan</w:t>
            </w:r>
            <w:proofErr w:type="spellEnd"/>
            <w:r w:rsidRPr="00870F69">
              <w:rPr>
                <w:rFonts w:ascii="Times New Roman" w:hAnsi="Times New Roman"/>
              </w:rPr>
              <w:t xml:space="preserve"> </w:t>
            </w:r>
            <w:r w:rsidR="005B738B">
              <w:rPr>
                <w:rFonts w:ascii="Times New Roman" w:hAnsi="Times New Roman"/>
              </w:rPr>
              <w:t>–</w:t>
            </w:r>
            <w:r w:rsidRPr="00870F69">
              <w:rPr>
                <w:rFonts w:ascii="Times New Roman" w:hAnsi="Times New Roman"/>
              </w:rPr>
              <w:t xml:space="preserve"> Dyrektor Departamentu Odnawialnych Źródeł Energii, e-mail: </w:t>
            </w:r>
            <w:hyperlink r:id="rId9" w:history="1">
              <w:r w:rsidRPr="005B738B">
                <w:rPr>
                  <w:rStyle w:val="Hipercze"/>
                  <w:rFonts w:ascii="Times New Roman" w:hAnsi="Times New Roman"/>
                </w:rPr>
                <w:t>Marcin.Scigan@klimat.gov.pl</w:t>
              </w:r>
            </w:hyperlink>
            <w:r w:rsidR="005B738B">
              <w:rPr>
                <w:rStyle w:val="Hipercze"/>
                <w:rFonts w:ascii="Times New Roman" w:hAnsi="Times New Roman"/>
              </w:rPr>
              <w:t>,</w:t>
            </w:r>
          </w:p>
          <w:p w14:paraId="55547C5F" w14:textId="5969D02F" w:rsidR="005B738B" w:rsidRPr="00870F69" w:rsidRDefault="005B738B" w:rsidP="005B738B">
            <w:pPr>
              <w:pStyle w:val="Akapitzlist"/>
              <w:numPr>
                <w:ilvl w:val="0"/>
                <w:numId w:val="190"/>
              </w:numPr>
              <w:spacing w:line="240" w:lineRule="auto"/>
              <w:ind w:left="202" w:hanging="142"/>
              <w:rPr>
                <w:rStyle w:val="Hipercze"/>
                <w:rFonts w:ascii="Times New Roman" w:hAnsi="Times New Roman"/>
                <w:color w:val="auto"/>
                <w:u w:val="none"/>
              </w:rPr>
            </w:pPr>
            <w:r w:rsidRPr="00870F69">
              <w:rPr>
                <w:rStyle w:val="Hipercze"/>
                <w:rFonts w:ascii="Times New Roman" w:hAnsi="Times New Roman"/>
                <w:color w:val="auto"/>
                <w:u w:val="none"/>
              </w:rPr>
              <w:t xml:space="preserve">Michał Łęski – Naczelnik Wydziału Regulacji i Mechanizmów Wsparcia Odnawialnych Źródeł Energii, e-mail: </w:t>
            </w:r>
            <w:hyperlink r:id="rId10" w:history="1">
              <w:r w:rsidRPr="005B738B">
                <w:rPr>
                  <w:rStyle w:val="Hipercze"/>
                  <w:rFonts w:ascii="Times New Roman" w:hAnsi="Times New Roman"/>
                </w:rPr>
                <w:t>michal.leski@klimat.go</w:t>
              </w:r>
              <w:r w:rsidRPr="009B27E8">
                <w:rPr>
                  <w:rStyle w:val="Hipercze"/>
                  <w:rFonts w:ascii="Times New Roman" w:hAnsi="Times New Roman"/>
                </w:rPr>
                <w:t>v.pl</w:t>
              </w:r>
            </w:hyperlink>
            <w:r w:rsidRPr="00870F69">
              <w:rPr>
                <w:rStyle w:val="Hipercze"/>
                <w:rFonts w:ascii="Times New Roman" w:hAnsi="Times New Roman"/>
                <w:color w:val="auto"/>
                <w:u w:val="none"/>
              </w:rPr>
              <w:t>,</w:t>
            </w:r>
          </w:p>
          <w:p w14:paraId="7AE0F6B5" w14:textId="4600114E" w:rsidR="007C5373" w:rsidRPr="00CA73A3" w:rsidRDefault="005B738B" w:rsidP="009B19D0">
            <w:pPr>
              <w:pStyle w:val="Akapitzlist"/>
              <w:numPr>
                <w:ilvl w:val="0"/>
                <w:numId w:val="190"/>
              </w:numPr>
              <w:spacing w:line="240" w:lineRule="auto"/>
              <w:ind w:left="202" w:hanging="142"/>
              <w:rPr>
                <w:rFonts w:ascii="Times New Roman" w:hAnsi="Times New Roman"/>
              </w:rPr>
            </w:pPr>
            <w:r w:rsidRPr="00870F69">
              <w:rPr>
                <w:rStyle w:val="Hipercze"/>
                <w:rFonts w:ascii="Times New Roman" w:hAnsi="Times New Roman"/>
                <w:color w:val="auto"/>
                <w:u w:val="none"/>
              </w:rPr>
              <w:t xml:space="preserve">Łukasz </w:t>
            </w:r>
            <w:proofErr w:type="spellStart"/>
            <w:r w:rsidRPr="00870F69">
              <w:rPr>
                <w:rStyle w:val="Hipercze"/>
                <w:rFonts w:ascii="Times New Roman" w:hAnsi="Times New Roman"/>
                <w:color w:val="auto"/>
                <w:u w:val="none"/>
              </w:rPr>
              <w:t>Zdzieszyński</w:t>
            </w:r>
            <w:proofErr w:type="spellEnd"/>
            <w:r w:rsidRPr="00870F69">
              <w:rPr>
                <w:rStyle w:val="Hipercze"/>
                <w:rFonts w:ascii="Times New Roman" w:hAnsi="Times New Roman"/>
                <w:color w:val="auto"/>
                <w:u w:val="none"/>
              </w:rPr>
              <w:t xml:space="preserve"> – starszy specjalista, Wydział Regulacji i Mechanizmów Wsparcia Odnawialnych Źródeł Energii, e-mail: </w:t>
            </w:r>
            <w:hyperlink r:id="rId11" w:history="1">
              <w:r w:rsidRPr="005B738B">
                <w:rPr>
                  <w:rStyle w:val="Hipercze"/>
                  <w:rFonts w:ascii="Times New Roman" w:hAnsi="Times New Roman"/>
                </w:rPr>
                <w:t>lukasz.zdzieszynski@klimat.gov.p</w:t>
              </w:r>
              <w:r w:rsidRPr="009B27E8">
                <w:rPr>
                  <w:rStyle w:val="Hipercze"/>
                  <w:rFonts w:ascii="Times New Roman" w:hAnsi="Times New Roman"/>
                </w:rPr>
                <w:t>l</w:t>
              </w:r>
            </w:hyperlink>
            <w:r w:rsidRPr="00870F69">
              <w:rPr>
                <w:rStyle w:val="Hipercze"/>
                <w:rFonts w:ascii="Times New Roman" w:hAnsi="Times New Roman"/>
                <w:color w:val="auto"/>
                <w:u w:val="none"/>
              </w:rPr>
              <w:t xml:space="preserve">. </w:t>
            </w:r>
            <w:r w:rsidR="007C5373" w:rsidRPr="00CA73A3">
              <w:rPr>
                <w:rFonts w:ascii="Times New Roman" w:hAnsi="Times New Roman"/>
              </w:rPr>
              <w:t xml:space="preserve"> </w:t>
            </w:r>
          </w:p>
        </w:tc>
        <w:tc>
          <w:tcPr>
            <w:tcW w:w="4113" w:type="dxa"/>
            <w:gridSpan w:val="12"/>
            <w:shd w:val="clear" w:color="auto" w:fill="FFFFFF"/>
          </w:tcPr>
          <w:p w14:paraId="23657784" w14:textId="19926A0B" w:rsidR="001B3460" w:rsidRPr="00687093" w:rsidRDefault="001B3460">
            <w:pPr>
              <w:spacing w:line="240" w:lineRule="auto"/>
              <w:rPr>
                <w:rFonts w:ascii="Times New Roman" w:hAnsi="Times New Roman"/>
                <w:b/>
              </w:rPr>
            </w:pPr>
            <w:r w:rsidRPr="00687093">
              <w:rPr>
                <w:rFonts w:ascii="Times New Roman" w:hAnsi="Times New Roman"/>
                <w:b/>
              </w:rPr>
              <w:t>Data sporządzenia</w:t>
            </w:r>
            <w:r w:rsidRPr="00687093">
              <w:rPr>
                <w:rFonts w:ascii="Times New Roman" w:hAnsi="Times New Roman"/>
                <w:b/>
              </w:rPr>
              <w:br/>
            </w:r>
            <w:r w:rsidR="003006DF">
              <w:rPr>
                <w:rFonts w:ascii="Times New Roman" w:hAnsi="Times New Roman"/>
              </w:rPr>
              <w:t>2</w:t>
            </w:r>
            <w:r w:rsidR="00031672">
              <w:rPr>
                <w:rFonts w:ascii="Times New Roman" w:hAnsi="Times New Roman"/>
              </w:rPr>
              <w:t>4</w:t>
            </w:r>
            <w:r w:rsidR="00144160" w:rsidRPr="00687093">
              <w:rPr>
                <w:rFonts w:ascii="Times New Roman" w:hAnsi="Times New Roman"/>
              </w:rPr>
              <w:t>.</w:t>
            </w:r>
            <w:r w:rsidR="005B738B">
              <w:rPr>
                <w:rFonts w:ascii="Times New Roman" w:hAnsi="Times New Roman"/>
              </w:rPr>
              <w:t>0</w:t>
            </w:r>
            <w:r w:rsidR="006C0E07">
              <w:rPr>
                <w:rFonts w:ascii="Times New Roman" w:hAnsi="Times New Roman"/>
              </w:rPr>
              <w:t>2</w:t>
            </w:r>
            <w:r w:rsidR="00EC2A72" w:rsidRPr="00687093">
              <w:rPr>
                <w:rFonts w:ascii="Times New Roman" w:hAnsi="Times New Roman"/>
              </w:rPr>
              <w:t>.202</w:t>
            </w:r>
            <w:r w:rsidR="005B738B">
              <w:rPr>
                <w:rFonts w:ascii="Times New Roman" w:hAnsi="Times New Roman"/>
              </w:rPr>
              <w:t>2</w:t>
            </w:r>
            <w:r w:rsidR="00EC2A72" w:rsidRPr="00687093">
              <w:rPr>
                <w:rFonts w:ascii="Times New Roman" w:hAnsi="Times New Roman"/>
              </w:rPr>
              <w:t xml:space="preserve"> r.</w:t>
            </w:r>
          </w:p>
          <w:p w14:paraId="06A6BCE0" w14:textId="77777777" w:rsidR="006F3AEC" w:rsidRPr="00687093" w:rsidRDefault="006F3AEC">
            <w:pPr>
              <w:spacing w:line="240" w:lineRule="auto"/>
              <w:rPr>
                <w:rFonts w:ascii="Times New Roman" w:hAnsi="Times New Roman"/>
                <w:b/>
                <w:color w:val="000000"/>
              </w:rPr>
            </w:pPr>
          </w:p>
          <w:p w14:paraId="45A8A083" w14:textId="77777777" w:rsidR="006A701A" w:rsidRPr="00687093" w:rsidRDefault="006F3AEC">
            <w:pPr>
              <w:spacing w:line="240" w:lineRule="auto"/>
              <w:rPr>
                <w:rFonts w:ascii="Times New Roman" w:hAnsi="Times New Roman"/>
                <w:b/>
                <w:color w:val="000000"/>
              </w:rPr>
            </w:pPr>
            <w:r w:rsidRPr="00687093">
              <w:rPr>
                <w:rFonts w:ascii="Times New Roman" w:hAnsi="Times New Roman"/>
                <w:b/>
                <w:color w:val="000000"/>
              </w:rPr>
              <w:t>Źródło:</w:t>
            </w:r>
          </w:p>
          <w:p w14:paraId="712291D6" w14:textId="582CAD3B" w:rsidR="003340C5" w:rsidRDefault="00AA42EA">
            <w:pPr>
              <w:spacing w:line="240" w:lineRule="auto"/>
              <w:rPr>
                <w:rFonts w:ascii="Times New Roman" w:hAnsi="Times New Roman"/>
                <w:color w:val="000000"/>
              </w:rPr>
            </w:pPr>
            <w:r w:rsidRPr="00687093">
              <w:rPr>
                <w:rFonts w:ascii="Times New Roman" w:hAnsi="Times New Roman"/>
                <w:color w:val="000000"/>
              </w:rPr>
              <w:t>Inicjatywa własna</w:t>
            </w:r>
          </w:p>
          <w:p w14:paraId="540CA436" w14:textId="33AB50E6" w:rsidR="00E63408" w:rsidRDefault="00E63408">
            <w:pPr>
              <w:spacing w:line="240" w:lineRule="auto"/>
              <w:rPr>
                <w:rFonts w:ascii="Times New Roman" w:hAnsi="Times New Roman"/>
                <w:color w:val="000000"/>
              </w:rPr>
            </w:pPr>
            <w:r>
              <w:rPr>
                <w:rFonts w:ascii="Times New Roman" w:hAnsi="Times New Roman"/>
                <w:color w:val="000000"/>
              </w:rPr>
              <w:t xml:space="preserve">Częściowe wdrożenie </w:t>
            </w:r>
            <w:r w:rsidRPr="00E63408">
              <w:rPr>
                <w:rFonts w:ascii="Times New Roman" w:hAnsi="Times New Roman"/>
                <w:color w:val="000000"/>
              </w:rPr>
              <w:t>dyrektywy Parlamentu Europejskiego i Rady (UE) 2018/2001 z dnia 11 grudnia 2018 r. w sprawie promowania stosowania energii ze źródeł odnawialnych</w:t>
            </w:r>
          </w:p>
          <w:p w14:paraId="5641AD2F" w14:textId="0BA4CAA9" w:rsidR="003340C5" w:rsidRPr="00687093" w:rsidRDefault="00E63408">
            <w:pPr>
              <w:spacing w:line="240" w:lineRule="auto"/>
              <w:rPr>
                <w:rFonts w:ascii="Times New Roman" w:hAnsi="Times New Roman"/>
                <w:b/>
                <w:color w:val="000000"/>
              </w:rPr>
            </w:pPr>
            <w:r>
              <w:rPr>
                <w:rFonts w:ascii="Times New Roman" w:hAnsi="Times New Roman"/>
                <w:color w:val="000000"/>
              </w:rPr>
              <w:t xml:space="preserve"> </w:t>
            </w:r>
          </w:p>
          <w:p w14:paraId="309DDA63" w14:textId="1803A503" w:rsidR="006F3AEC" w:rsidRPr="00687093" w:rsidRDefault="00F16585" w:rsidP="007219CD">
            <w:pPr>
              <w:spacing w:line="240" w:lineRule="auto"/>
              <w:rPr>
                <w:rFonts w:ascii="Times New Roman" w:hAnsi="Times New Roman"/>
                <w:color w:val="000000"/>
                <w:sz w:val="28"/>
                <w:szCs w:val="28"/>
              </w:rPr>
            </w:pPr>
            <w:r w:rsidRPr="009B19D0">
              <w:rPr>
                <w:rFonts w:ascii="Times New Roman" w:hAnsi="Times New Roman"/>
                <w:b/>
                <w:bCs/>
                <w:color w:val="000000"/>
              </w:rPr>
              <w:t>Nr w wykazie RM</w:t>
            </w:r>
            <w:r w:rsidRPr="00687093">
              <w:rPr>
                <w:rFonts w:ascii="Times New Roman" w:hAnsi="Times New Roman"/>
                <w:color w:val="000000"/>
              </w:rPr>
              <w:t xml:space="preserve">: </w:t>
            </w:r>
            <w:r w:rsidR="00021447">
              <w:rPr>
                <w:rFonts w:ascii="Times New Roman" w:hAnsi="Times New Roman"/>
                <w:color w:val="000000"/>
              </w:rPr>
              <w:t>UC99</w:t>
            </w:r>
          </w:p>
        </w:tc>
      </w:tr>
      <w:tr w:rsidR="006A701A" w:rsidRPr="00687093" w14:paraId="6AC5CE38" w14:textId="77777777" w:rsidTr="008B0DAC">
        <w:trPr>
          <w:trHeight w:val="142"/>
        </w:trPr>
        <w:tc>
          <w:tcPr>
            <w:tcW w:w="10947" w:type="dxa"/>
            <w:gridSpan w:val="30"/>
            <w:shd w:val="clear" w:color="auto" w:fill="99CCFF"/>
          </w:tcPr>
          <w:p w14:paraId="6AFF9A0D" w14:textId="77777777" w:rsidR="006A701A" w:rsidRPr="00687093" w:rsidRDefault="006A701A">
            <w:pPr>
              <w:spacing w:line="240" w:lineRule="auto"/>
              <w:ind w:left="57"/>
              <w:jc w:val="center"/>
              <w:rPr>
                <w:rFonts w:ascii="Times New Roman" w:hAnsi="Times New Roman"/>
                <w:b/>
                <w:color w:val="FFFFFF"/>
                <w:sz w:val="32"/>
                <w:szCs w:val="32"/>
              </w:rPr>
            </w:pPr>
            <w:r w:rsidRPr="00687093">
              <w:rPr>
                <w:rFonts w:ascii="Times New Roman" w:hAnsi="Times New Roman"/>
                <w:b/>
                <w:color w:val="FFFFFF"/>
                <w:sz w:val="32"/>
                <w:szCs w:val="32"/>
              </w:rPr>
              <w:t>OCENA SKUTKÓW REGULACJI</w:t>
            </w:r>
          </w:p>
        </w:tc>
      </w:tr>
      <w:tr w:rsidR="006A701A" w:rsidRPr="00687093" w14:paraId="2DB3EF29" w14:textId="77777777" w:rsidTr="008B0DAC">
        <w:trPr>
          <w:trHeight w:val="333"/>
        </w:trPr>
        <w:tc>
          <w:tcPr>
            <w:tcW w:w="10947" w:type="dxa"/>
            <w:gridSpan w:val="30"/>
            <w:shd w:val="clear" w:color="auto" w:fill="99CCFF"/>
            <w:vAlign w:val="center"/>
          </w:tcPr>
          <w:p w14:paraId="418530F5" w14:textId="77777777" w:rsidR="006A701A" w:rsidRPr="00687093" w:rsidRDefault="003D12F6">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rPr>
              <w:t xml:space="preserve">Jaki problem jest </w:t>
            </w:r>
            <w:r w:rsidR="00CC6305" w:rsidRPr="00687093">
              <w:rPr>
                <w:rFonts w:ascii="Times New Roman" w:hAnsi="Times New Roman"/>
                <w:b/>
              </w:rPr>
              <w:t>rozwiązywany?</w:t>
            </w:r>
            <w:bookmarkStart w:id="1" w:name="Wybór1"/>
            <w:bookmarkEnd w:id="1"/>
          </w:p>
        </w:tc>
      </w:tr>
      <w:tr w:rsidR="006A701A" w:rsidRPr="00687093" w14:paraId="4E43BE2C" w14:textId="77777777" w:rsidTr="00870F69">
        <w:trPr>
          <w:trHeight w:val="699"/>
        </w:trPr>
        <w:tc>
          <w:tcPr>
            <w:tcW w:w="10947" w:type="dxa"/>
            <w:gridSpan w:val="30"/>
            <w:shd w:val="clear" w:color="auto" w:fill="FFFFFF"/>
          </w:tcPr>
          <w:p w14:paraId="0185C6F0" w14:textId="77777777" w:rsidR="002A1045" w:rsidRDefault="00A944AB" w:rsidP="000D3F7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 projek</w:t>
            </w:r>
            <w:r w:rsidR="00DF5D35">
              <w:rPr>
                <w:rFonts w:ascii="Times New Roman" w:hAnsi="Times New Roman"/>
                <w:color w:val="000000"/>
              </w:rPr>
              <w:t xml:space="preserve">cie </w:t>
            </w:r>
            <w:r>
              <w:rPr>
                <w:rFonts w:ascii="Times New Roman" w:hAnsi="Times New Roman"/>
                <w:color w:val="000000"/>
              </w:rPr>
              <w:t>ustawy</w:t>
            </w:r>
            <w:r w:rsidR="00593366">
              <w:rPr>
                <w:rFonts w:ascii="Times New Roman" w:hAnsi="Times New Roman"/>
                <w:color w:val="000000"/>
              </w:rPr>
              <w:t xml:space="preserve"> o zmianie ustawy o odnawialnych źródłach energii oraz niektórych innych ustaw, zwanym dalej „projektem ustawy”,</w:t>
            </w:r>
            <w:r>
              <w:rPr>
                <w:rFonts w:ascii="Times New Roman" w:hAnsi="Times New Roman"/>
                <w:color w:val="000000"/>
              </w:rPr>
              <w:t xml:space="preserve"> </w:t>
            </w:r>
            <w:r w:rsidR="006F1DF7">
              <w:rPr>
                <w:rFonts w:ascii="Times New Roman" w:hAnsi="Times New Roman"/>
                <w:color w:val="000000"/>
              </w:rPr>
              <w:t xml:space="preserve">dokonywane są zmiany </w:t>
            </w:r>
            <w:r w:rsidR="00DF5D35">
              <w:rPr>
                <w:rFonts w:ascii="Times New Roman" w:hAnsi="Times New Roman"/>
                <w:color w:val="000000"/>
              </w:rPr>
              <w:t xml:space="preserve">w ramach wielu obszarów </w:t>
            </w:r>
            <w:r w:rsidR="006F1DF7">
              <w:rPr>
                <w:rFonts w:ascii="Times New Roman" w:hAnsi="Times New Roman"/>
                <w:color w:val="000000"/>
              </w:rPr>
              <w:t>dotyczących odnawialnych źródeł energii</w:t>
            </w:r>
            <w:r w:rsidR="00DF5D35">
              <w:rPr>
                <w:rFonts w:ascii="Times New Roman" w:hAnsi="Times New Roman"/>
                <w:color w:val="000000"/>
              </w:rPr>
              <w:t xml:space="preserve">, których wspólnym </w:t>
            </w:r>
            <w:r w:rsidR="00B46C59">
              <w:rPr>
                <w:rFonts w:ascii="Times New Roman" w:hAnsi="Times New Roman"/>
                <w:color w:val="000000"/>
              </w:rPr>
              <w:t>celem jest zwiększenie udziału źródeł odnawialnych w krajowym zużyciu energii brutto</w:t>
            </w:r>
            <w:r w:rsidR="00C36301">
              <w:rPr>
                <w:rFonts w:ascii="Times New Roman" w:hAnsi="Times New Roman"/>
                <w:color w:val="000000"/>
              </w:rPr>
              <w:t>,</w:t>
            </w:r>
            <w:r w:rsidR="00B46C59">
              <w:rPr>
                <w:rFonts w:ascii="Times New Roman" w:hAnsi="Times New Roman"/>
                <w:color w:val="000000"/>
              </w:rPr>
              <w:t xml:space="preserve"> a także szeroko pojęty rozwój </w:t>
            </w:r>
            <w:r w:rsidR="00F13D4C">
              <w:rPr>
                <w:rFonts w:ascii="Times New Roman" w:hAnsi="Times New Roman"/>
                <w:color w:val="000000"/>
              </w:rPr>
              <w:t xml:space="preserve">sektora </w:t>
            </w:r>
            <w:r w:rsidR="00B46C59">
              <w:rPr>
                <w:rFonts w:ascii="Times New Roman" w:hAnsi="Times New Roman"/>
                <w:color w:val="000000"/>
              </w:rPr>
              <w:t xml:space="preserve">energii </w:t>
            </w:r>
            <w:r w:rsidR="00F13D4C">
              <w:rPr>
                <w:rFonts w:ascii="Times New Roman" w:hAnsi="Times New Roman"/>
                <w:color w:val="000000"/>
              </w:rPr>
              <w:t>zgodn</w:t>
            </w:r>
            <w:r w:rsidR="00C36301">
              <w:rPr>
                <w:rFonts w:ascii="Times New Roman" w:hAnsi="Times New Roman"/>
                <w:color w:val="000000"/>
              </w:rPr>
              <w:t>y</w:t>
            </w:r>
            <w:r w:rsidR="00F13D4C">
              <w:rPr>
                <w:rFonts w:ascii="Times New Roman" w:hAnsi="Times New Roman"/>
                <w:color w:val="000000"/>
              </w:rPr>
              <w:t xml:space="preserve"> z ambicjami redukcji emisyjności gospodarki </w:t>
            </w:r>
            <w:r w:rsidR="002E33DF">
              <w:rPr>
                <w:rFonts w:ascii="Times New Roman" w:hAnsi="Times New Roman"/>
                <w:color w:val="000000"/>
              </w:rPr>
              <w:t>i spełniania zobowiązań międzynarodowych</w:t>
            </w:r>
            <w:r w:rsidR="006A4F30">
              <w:rPr>
                <w:rFonts w:ascii="Times New Roman" w:hAnsi="Times New Roman"/>
                <w:color w:val="000000"/>
              </w:rPr>
              <w:t>.</w:t>
            </w:r>
          </w:p>
          <w:p w14:paraId="4DE1B67F" w14:textId="079E6726" w:rsidR="00A944AB" w:rsidRDefault="006A4F30" w:rsidP="000D3F7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Projekt</w:t>
            </w:r>
            <w:r w:rsidR="00DF74AB">
              <w:rPr>
                <w:rFonts w:ascii="Times New Roman" w:hAnsi="Times New Roman"/>
                <w:color w:val="000000"/>
              </w:rPr>
              <w:t>,</w:t>
            </w:r>
            <w:r>
              <w:rPr>
                <w:rFonts w:ascii="Times New Roman" w:hAnsi="Times New Roman"/>
                <w:color w:val="000000"/>
              </w:rPr>
              <w:t xml:space="preserve"> </w:t>
            </w:r>
            <w:r w:rsidR="009C5AEA">
              <w:rPr>
                <w:rFonts w:ascii="Times New Roman" w:hAnsi="Times New Roman"/>
                <w:color w:val="000000"/>
              </w:rPr>
              <w:t>w szczególności</w:t>
            </w:r>
            <w:r w:rsidR="00DF74AB">
              <w:rPr>
                <w:rFonts w:ascii="Times New Roman" w:hAnsi="Times New Roman"/>
                <w:color w:val="000000"/>
              </w:rPr>
              <w:t>,</w:t>
            </w:r>
            <w:r w:rsidR="009C5AEA">
              <w:rPr>
                <w:rFonts w:ascii="Times New Roman" w:hAnsi="Times New Roman"/>
                <w:color w:val="000000"/>
              </w:rPr>
              <w:t xml:space="preserve"> </w:t>
            </w:r>
            <w:r>
              <w:rPr>
                <w:rFonts w:ascii="Times New Roman" w:hAnsi="Times New Roman"/>
                <w:color w:val="000000"/>
              </w:rPr>
              <w:t xml:space="preserve">ma za cel </w:t>
            </w:r>
            <w:r w:rsidR="009C5AEA">
              <w:rPr>
                <w:rFonts w:ascii="Times New Roman" w:hAnsi="Times New Roman"/>
                <w:color w:val="000000"/>
              </w:rPr>
              <w:t xml:space="preserve">transpozycję </w:t>
            </w:r>
            <w:r w:rsidR="009C5AEA">
              <w:rPr>
                <w:rFonts w:ascii="Times New Roman" w:hAnsi="Times New Roman"/>
              </w:rPr>
              <w:t>d</w:t>
            </w:r>
            <w:r w:rsidR="009C5AEA" w:rsidRPr="000271BE">
              <w:rPr>
                <w:rFonts w:ascii="Times New Roman" w:hAnsi="Times New Roman"/>
              </w:rPr>
              <w:t>yrektyw</w:t>
            </w:r>
            <w:r w:rsidR="009C5AEA">
              <w:rPr>
                <w:rFonts w:ascii="Times New Roman" w:hAnsi="Times New Roman"/>
              </w:rPr>
              <w:t>y</w:t>
            </w:r>
            <w:r w:rsidR="009C5AEA" w:rsidRPr="00170E2E">
              <w:rPr>
                <w:rFonts w:ascii="Times New Roman" w:hAnsi="Times New Roman"/>
              </w:rPr>
              <w:t xml:space="preserve"> Parlamentu Europejskiego i Rady (UE) 2018/2001 z dnia 11 grudnia 2018 r. </w:t>
            </w:r>
            <w:r w:rsidR="009C5AEA" w:rsidRPr="000271BE">
              <w:rPr>
                <w:rFonts w:ascii="Times New Roman" w:hAnsi="Times New Roman"/>
                <w:i/>
              </w:rPr>
              <w:t>w sprawie promowania stosowania energii ze źródeł odnawialnych</w:t>
            </w:r>
            <w:r w:rsidR="009C5AEA" w:rsidRPr="000271BE">
              <w:rPr>
                <w:rFonts w:ascii="Times New Roman" w:eastAsia="Times New Roman" w:hAnsi="Times New Roman"/>
                <w:bCs/>
                <w:lang w:eastAsia="pl-PL"/>
              </w:rPr>
              <w:t xml:space="preserve"> </w:t>
            </w:r>
            <w:r w:rsidR="009C5AEA" w:rsidRPr="00170E2E">
              <w:rPr>
                <w:rFonts w:ascii="Times New Roman" w:hAnsi="Times New Roman"/>
              </w:rPr>
              <w:t>(Dz. Urz. UE L 328, z 21.12.2018 r.)</w:t>
            </w:r>
            <w:r>
              <w:rPr>
                <w:rFonts w:ascii="Times New Roman" w:hAnsi="Times New Roman"/>
              </w:rPr>
              <w:t>,</w:t>
            </w:r>
            <w:r w:rsidR="009C5AEA">
              <w:rPr>
                <w:rFonts w:ascii="Times New Roman" w:hAnsi="Times New Roman"/>
              </w:rPr>
              <w:t xml:space="preserve"> </w:t>
            </w:r>
            <w:r w:rsidR="00CB74E3">
              <w:rPr>
                <w:rFonts w:ascii="Times New Roman" w:hAnsi="Times New Roman"/>
              </w:rPr>
              <w:t xml:space="preserve">zwanej </w:t>
            </w:r>
            <w:r w:rsidR="009C5AEA" w:rsidRPr="000271BE">
              <w:rPr>
                <w:rFonts w:ascii="Times New Roman" w:hAnsi="Times New Roman"/>
              </w:rPr>
              <w:t>dalej „</w:t>
            </w:r>
            <w:r w:rsidR="009C5AEA">
              <w:rPr>
                <w:rFonts w:ascii="Times New Roman" w:hAnsi="Times New Roman"/>
              </w:rPr>
              <w:t>RED II</w:t>
            </w:r>
            <w:r w:rsidR="009C5AEA" w:rsidRPr="000271BE">
              <w:rPr>
                <w:rFonts w:ascii="Times New Roman" w:hAnsi="Times New Roman"/>
              </w:rPr>
              <w:t>”</w:t>
            </w:r>
            <w:r w:rsidR="002A1045">
              <w:rPr>
                <w:rFonts w:ascii="Times New Roman" w:hAnsi="Times New Roman"/>
              </w:rPr>
              <w:t xml:space="preserve">, „dyrektywą RED II” </w:t>
            </w:r>
            <w:r w:rsidR="00B17932">
              <w:rPr>
                <w:rFonts w:ascii="Times New Roman" w:hAnsi="Times New Roman"/>
              </w:rPr>
              <w:t xml:space="preserve">lub </w:t>
            </w:r>
            <w:r w:rsidR="00DF74AB">
              <w:rPr>
                <w:rFonts w:ascii="Times New Roman" w:hAnsi="Times New Roman"/>
              </w:rPr>
              <w:t>„</w:t>
            </w:r>
            <w:r w:rsidR="00B17932">
              <w:rPr>
                <w:rFonts w:ascii="Times New Roman" w:hAnsi="Times New Roman"/>
              </w:rPr>
              <w:t>dyrektywą 2018/2001</w:t>
            </w:r>
            <w:r w:rsidR="00DF74AB">
              <w:rPr>
                <w:rFonts w:ascii="Times New Roman" w:hAnsi="Times New Roman"/>
              </w:rPr>
              <w:t>”</w:t>
            </w:r>
            <w:r w:rsidR="002E33DF">
              <w:rPr>
                <w:rFonts w:ascii="Times New Roman" w:hAnsi="Times New Roman"/>
                <w:color w:val="000000"/>
              </w:rPr>
              <w:t xml:space="preserve">. </w:t>
            </w:r>
          </w:p>
          <w:p w14:paraId="089CC0E0" w14:textId="4D1102C3" w:rsidR="00CE4464" w:rsidRDefault="00F863BB" w:rsidP="00870F6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R</w:t>
            </w:r>
            <w:r w:rsidR="00CE4464">
              <w:rPr>
                <w:rFonts w:ascii="Times New Roman" w:hAnsi="Times New Roman"/>
                <w:color w:val="000000"/>
              </w:rPr>
              <w:t>egul</w:t>
            </w:r>
            <w:r>
              <w:rPr>
                <w:rFonts w:ascii="Times New Roman" w:hAnsi="Times New Roman"/>
                <w:color w:val="000000"/>
              </w:rPr>
              <w:t>acje</w:t>
            </w:r>
            <w:r w:rsidR="00F4600F">
              <w:rPr>
                <w:rFonts w:ascii="Times New Roman" w:hAnsi="Times New Roman"/>
                <w:color w:val="000000"/>
              </w:rPr>
              <w:t>, które mają być</w:t>
            </w:r>
            <w:r>
              <w:rPr>
                <w:rFonts w:ascii="Times New Roman" w:hAnsi="Times New Roman"/>
                <w:color w:val="000000"/>
              </w:rPr>
              <w:t xml:space="preserve"> zawarte </w:t>
            </w:r>
            <w:r w:rsidR="00DD7230">
              <w:rPr>
                <w:rFonts w:ascii="Times New Roman" w:hAnsi="Times New Roman"/>
                <w:color w:val="000000"/>
              </w:rPr>
              <w:t>w nowelizacji dotyczą</w:t>
            </w:r>
            <w:r>
              <w:rPr>
                <w:rFonts w:ascii="Times New Roman" w:hAnsi="Times New Roman"/>
                <w:color w:val="000000"/>
              </w:rPr>
              <w:t xml:space="preserve"> następujących obszarów</w:t>
            </w:r>
            <w:r w:rsidR="00CE4464">
              <w:rPr>
                <w:rFonts w:ascii="Times New Roman" w:hAnsi="Times New Roman"/>
                <w:color w:val="000000"/>
              </w:rPr>
              <w:t>:</w:t>
            </w:r>
          </w:p>
          <w:p w14:paraId="542102AB" w14:textId="1613CF85" w:rsidR="006C5382" w:rsidRDefault="006C5382"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bookmarkStart w:id="2" w:name="_Hlk92964691"/>
            <w:proofErr w:type="spellStart"/>
            <w:r>
              <w:rPr>
                <w:rFonts w:ascii="Times New Roman" w:hAnsi="Times New Roman"/>
                <w:color w:val="000000"/>
              </w:rPr>
              <w:t>Biometan</w:t>
            </w:r>
            <w:proofErr w:type="spellEnd"/>
          </w:p>
          <w:p w14:paraId="110CD2EC" w14:textId="54D47D2A" w:rsidR="006C5382" w:rsidRDefault="006C5382"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color w:val="000000"/>
              </w:rPr>
              <w:t>Klastry energii</w:t>
            </w:r>
          </w:p>
          <w:p w14:paraId="02B41D8F" w14:textId="6D76AA35" w:rsidR="006C5382" w:rsidRPr="006D71EF" w:rsidRDefault="00CE4464"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Transpozycja </w:t>
            </w:r>
            <w:r w:rsidR="00064CC9">
              <w:rPr>
                <w:rFonts w:ascii="Times New Roman" w:hAnsi="Times New Roman"/>
              </w:rPr>
              <w:t>RED II</w:t>
            </w:r>
            <w:r>
              <w:rPr>
                <w:rFonts w:ascii="Times New Roman" w:hAnsi="Times New Roman"/>
              </w:rPr>
              <w:t xml:space="preserve"> w następujących obszarach:</w:t>
            </w:r>
          </w:p>
          <w:p w14:paraId="42324E4B" w14:textId="7C6CA764" w:rsidR="00EF6F56" w:rsidRDefault="009C5AEA"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Ciepło</w:t>
            </w:r>
            <w:r w:rsidR="006A24DA">
              <w:rPr>
                <w:rFonts w:ascii="Times New Roman" w:hAnsi="Times New Roman"/>
                <w:color w:val="000000"/>
              </w:rPr>
              <w:t>wnictwo</w:t>
            </w:r>
            <w:r>
              <w:rPr>
                <w:rFonts w:ascii="Times New Roman" w:hAnsi="Times New Roman"/>
                <w:color w:val="000000"/>
              </w:rPr>
              <w:t xml:space="preserve"> i </w:t>
            </w:r>
            <w:r w:rsidR="00CE4464">
              <w:rPr>
                <w:rFonts w:ascii="Times New Roman" w:hAnsi="Times New Roman"/>
                <w:color w:val="000000"/>
              </w:rPr>
              <w:t>chł</w:t>
            </w:r>
            <w:r w:rsidR="006A24DA">
              <w:rPr>
                <w:rFonts w:ascii="Times New Roman" w:hAnsi="Times New Roman"/>
                <w:color w:val="000000"/>
              </w:rPr>
              <w:t>o</w:t>
            </w:r>
            <w:r w:rsidR="00CE4464">
              <w:rPr>
                <w:rFonts w:ascii="Times New Roman" w:hAnsi="Times New Roman"/>
                <w:color w:val="000000"/>
              </w:rPr>
              <w:t>d</w:t>
            </w:r>
            <w:r w:rsidR="006A24DA">
              <w:rPr>
                <w:rFonts w:ascii="Times New Roman" w:hAnsi="Times New Roman"/>
                <w:color w:val="000000"/>
              </w:rPr>
              <w:t>nictwo</w:t>
            </w:r>
            <w:r w:rsidR="00AD7EB8">
              <w:rPr>
                <w:rFonts w:ascii="Times New Roman" w:hAnsi="Times New Roman"/>
                <w:color w:val="000000"/>
              </w:rPr>
              <w:t xml:space="preserve"> (art. 23-24</w:t>
            </w:r>
            <w:r w:rsidR="00554FBC">
              <w:rPr>
                <w:rFonts w:ascii="Times New Roman" w:hAnsi="Times New Roman"/>
                <w:color w:val="000000"/>
              </w:rPr>
              <w:t xml:space="preserve"> </w:t>
            </w:r>
            <w:r w:rsidR="00064CC9">
              <w:rPr>
                <w:rFonts w:ascii="Times New Roman" w:hAnsi="Times New Roman"/>
                <w:color w:val="000000"/>
              </w:rPr>
              <w:t>RED II</w:t>
            </w:r>
            <w:r w:rsidR="00AD7EB8">
              <w:rPr>
                <w:rFonts w:ascii="Times New Roman" w:hAnsi="Times New Roman"/>
                <w:color w:val="000000"/>
              </w:rPr>
              <w:t>)</w:t>
            </w:r>
          </w:p>
          <w:p w14:paraId="2EDB1D50" w14:textId="6F5E9625"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Gwarancje pochodzenia</w:t>
            </w:r>
            <w:r w:rsidR="00554FBC">
              <w:rPr>
                <w:rFonts w:ascii="Times New Roman" w:hAnsi="Times New Roman"/>
                <w:color w:val="000000"/>
              </w:rPr>
              <w:t xml:space="preserve"> (art. 19 </w:t>
            </w:r>
            <w:r w:rsidR="00064CC9">
              <w:rPr>
                <w:rFonts w:ascii="Times New Roman" w:hAnsi="Times New Roman"/>
                <w:color w:val="000000"/>
              </w:rPr>
              <w:t>RED II</w:t>
            </w:r>
            <w:r w:rsidR="00554FBC">
              <w:rPr>
                <w:rFonts w:ascii="Times New Roman" w:hAnsi="Times New Roman"/>
                <w:color w:val="000000"/>
              </w:rPr>
              <w:t>)</w:t>
            </w:r>
          </w:p>
          <w:p w14:paraId="50F18E55" w14:textId="1AB2FC29"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Krajowy Punkt Kontaktowy</w:t>
            </w:r>
            <w:r w:rsidR="00554FBC">
              <w:rPr>
                <w:rFonts w:ascii="Times New Roman" w:hAnsi="Times New Roman"/>
                <w:color w:val="000000"/>
              </w:rPr>
              <w:t xml:space="preserve"> </w:t>
            </w:r>
            <w:r w:rsidR="000F1F61">
              <w:rPr>
                <w:rFonts w:ascii="Times New Roman" w:hAnsi="Times New Roman"/>
                <w:color w:val="000000"/>
              </w:rPr>
              <w:t xml:space="preserve">OZE </w:t>
            </w:r>
            <w:r w:rsidR="00554FBC">
              <w:rPr>
                <w:rFonts w:ascii="Times New Roman" w:hAnsi="Times New Roman"/>
                <w:color w:val="000000"/>
              </w:rPr>
              <w:t xml:space="preserve">(art. 16 </w:t>
            </w:r>
            <w:r w:rsidR="00064CC9">
              <w:rPr>
                <w:rFonts w:ascii="Times New Roman" w:hAnsi="Times New Roman"/>
                <w:color w:val="000000"/>
              </w:rPr>
              <w:t>RED II</w:t>
            </w:r>
            <w:r w:rsidR="00554FBC">
              <w:rPr>
                <w:rFonts w:ascii="Times New Roman" w:hAnsi="Times New Roman"/>
                <w:color w:val="000000"/>
              </w:rPr>
              <w:t>)</w:t>
            </w:r>
          </w:p>
          <w:p w14:paraId="2561C16C" w14:textId="686F85AC" w:rsidR="006A0D49" w:rsidRDefault="006A0D49"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Pr>
                <w:rFonts w:ascii="Times New Roman" w:hAnsi="Times New Roman"/>
                <w:color w:val="000000"/>
              </w:rPr>
              <w:t>Procedury administracyjne</w:t>
            </w:r>
            <w:r w:rsidR="00554FBC">
              <w:rPr>
                <w:rFonts w:ascii="Times New Roman" w:hAnsi="Times New Roman"/>
                <w:color w:val="000000"/>
              </w:rPr>
              <w:t xml:space="preserve"> (art. 15-16 </w:t>
            </w:r>
            <w:r w:rsidR="00064CC9">
              <w:rPr>
                <w:rFonts w:ascii="Times New Roman" w:hAnsi="Times New Roman"/>
                <w:color w:val="000000"/>
              </w:rPr>
              <w:t>RED II</w:t>
            </w:r>
            <w:r w:rsidR="00554FBC">
              <w:rPr>
                <w:rFonts w:ascii="Times New Roman" w:hAnsi="Times New Roman"/>
                <w:color w:val="000000"/>
              </w:rPr>
              <w:t>)</w:t>
            </w:r>
          </w:p>
          <w:p w14:paraId="301EF044" w14:textId="5FD54D29" w:rsidR="005C1861" w:rsidRDefault="00163601"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lang w:val="en-US"/>
              </w:rPr>
            </w:pPr>
            <w:proofErr w:type="spellStart"/>
            <w:r>
              <w:rPr>
                <w:rFonts w:ascii="Times New Roman" w:hAnsi="Times New Roman"/>
                <w:color w:val="000000"/>
                <w:lang w:val="en-US"/>
              </w:rPr>
              <w:t>Partnerski</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handel</w:t>
            </w:r>
            <w:proofErr w:type="spellEnd"/>
            <w:r>
              <w:rPr>
                <w:rFonts w:ascii="Times New Roman" w:hAnsi="Times New Roman"/>
                <w:color w:val="000000"/>
                <w:lang w:val="en-US"/>
              </w:rPr>
              <w:t xml:space="preserve"> </w:t>
            </w:r>
            <w:proofErr w:type="spellStart"/>
            <w:r>
              <w:rPr>
                <w:rFonts w:ascii="Times New Roman" w:hAnsi="Times New Roman"/>
                <w:color w:val="000000"/>
                <w:lang w:val="en-US"/>
              </w:rPr>
              <w:t>energią</w:t>
            </w:r>
            <w:proofErr w:type="spellEnd"/>
            <w:r>
              <w:rPr>
                <w:rFonts w:ascii="Times New Roman" w:hAnsi="Times New Roman"/>
                <w:color w:val="000000"/>
                <w:lang w:val="en-US"/>
              </w:rPr>
              <w:t xml:space="preserve"> </w:t>
            </w:r>
            <w:r w:rsidR="00F75F7F">
              <w:rPr>
                <w:rFonts w:ascii="Times New Roman" w:hAnsi="Times New Roman"/>
                <w:color w:val="000000"/>
                <w:lang w:val="en-US"/>
              </w:rPr>
              <w:t>–</w:t>
            </w:r>
            <w:r>
              <w:rPr>
                <w:rFonts w:ascii="Times New Roman" w:hAnsi="Times New Roman"/>
                <w:color w:val="000000"/>
                <w:lang w:val="en-US"/>
              </w:rPr>
              <w:t xml:space="preserve"> p</w:t>
            </w:r>
            <w:r w:rsidR="006A0D49" w:rsidRPr="00554FBC">
              <w:rPr>
                <w:rFonts w:ascii="Times New Roman" w:hAnsi="Times New Roman"/>
                <w:color w:val="000000"/>
                <w:lang w:val="en-US"/>
              </w:rPr>
              <w:t>eer-to-peer</w:t>
            </w:r>
            <w:r w:rsidR="00554FBC" w:rsidRPr="00554FBC">
              <w:rPr>
                <w:rFonts w:ascii="Times New Roman" w:hAnsi="Times New Roman"/>
                <w:color w:val="000000"/>
                <w:lang w:val="en-US"/>
              </w:rPr>
              <w:t xml:space="preserve"> (art. 21 </w:t>
            </w:r>
            <w:r w:rsidR="00064CC9">
              <w:rPr>
                <w:rFonts w:ascii="Times New Roman" w:hAnsi="Times New Roman"/>
                <w:color w:val="000000"/>
                <w:lang w:val="en-US"/>
              </w:rPr>
              <w:t>RED II</w:t>
            </w:r>
            <w:r w:rsidR="00554FBC" w:rsidRPr="00554FBC">
              <w:rPr>
                <w:rFonts w:ascii="Times New Roman" w:hAnsi="Times New Roman"/>
                <w:color w:val="000000"/>
                <w:lang w:val="en-US"/>
              </w:rPr>
              <w:t>)</w:t>
            </w:r>
          </w:p>
          <w:p w14:paraId="54D1F2B3" w14:textId="06D25938" w:rsidR="006A0D49" w:rsidRPr="0003657C" w:rsidRDefault="00C36301" w:rsidP="006D71EF">
            <w:pPr>
              <w:pStyle w:val="Akapitzlist"/>
              <w:numPr>
                <w:ilvl w:val="1"/>
                <w:numId w:val="160"/>
              </w:numPr>
              <w:autoSpaceDE w:val="0"/>
              <w:autoSpaceDN w:val="0"/>
              <w:adjustRightInd w:val="0"/>
              <w:spacing w:after="120" w:line="240" w:lineRule="auto"/>
              <w:ind w:left="911" w:hanging="284"/>
              <w:jc w:val="both"/>
              <w:rPr>
                <w:rFonts w:ascii="Times New Roman" w:hAnsi="Times New Roman"/>
                <w:color w:val="000000"/>
              </w:rPr>
            </w:pPr>
            <w:r w:rsidRPr="0003657C">
              <w:rPr>
                <w:rFonts w:ascii="Times New Roman" w:hAnsi="Times New Roman"/>
                <w:color w:val="000000"/>
              </w:rPr>
              <w:t>Pozostałe</w:t>
            </w:r>
            <w:r w:rsidR="00BB35B1" w:rsidRPr="0003657C">
              <w:rPr>
                <w:rFonts w:ascii="Times New Roman" w:hAnsi="Times New Roman"/>
                <w:color w:val="000000"/>
              </w:rPr>
              <w:t xml:space="preserve"> przepisy </w:t>
            </w:r>
            <w:r w:rsidR="00064CC9">
              <w:rPr>
                <w:rFonts w:ascii="Times New Roman" w:hAnsi="Times New Roman"/>
                <w:color w:val="000000"/>
              </w:rPr>
              <w:t>RED II</w:t>
            </w:r>
            <w:r w:rsidR="00554FBC" w:rsidRPr="0003657C">
              <w:rPr>
                <w:rFonts w:ascii="Times New Roman" w:hAnsi="Times New Roman"/>
                <w:color w:val="000000"/>
              </w:rPr>
              <w:t xml:space="preserve"> </w:t>
            </w:r>
            <w:r w:rsidRPr="0003657C">
              <w:rPr>
                <w:rFonts w:ascii="Times New Roman" w:hAnsi="Times New Roman"/>
                <w:color w:val="000000"/>
              </w:rPr>
              <w:t>wymagające w</w:t>
            </w:r>
            <w:r>
              <w:rPr>
                <w:rFonts w:ascii="Times New Roman" w:hAnsi="Times New Roman"/>
                <w:color w:val="000000"/>
              </w:rPr>
              <w:t>drożenia</w:t>
            </w:r>
          </w:p>
          <w:p w14:paraId="2668D45D" w14:textId="18B92575" w:rsidR="00F50223" w:rsidRPr="006D71EF" w:rsidRDefault="00F50223"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Modernizacja instalacji </w:t>
            </w:r>
            <w:r w:rsidR="00CB74E3">
              <w:rPr>
                <w:rFonts w:ascii="Times New Roman" w:hAnsi="Times New Roman"/>
              </w:rPr>
              <w:t>odnawialnych źródeł energii (</w:t>
            </w:r>
            <w:r w:rsidR="00113FAE">
              <w:rPr>
                <w:rFonts w:ascii="Times New Roman" w:hAnsi="Times New Roman"/>
              </w:rPr>
              <w:t xml:space="preserve">zwanych dalej </w:t>
            </w:r>
            <w:r w:rsidR="00CB74E3">
              <w:rPr>
                <w:rFonts w:ascii="Times New Roman" w:hAnsi="Times New Roman"/>
              </w:rPr>
              <w:t>„OZE”)</w:t>
            </w:r>
          </w:p>
          <w:p w14:paraId="1334A230" w14:textId="77777777" w:rsidR="00727CA3" w:rsidRPr="00870F69" w:rsidRDefault="00F50223"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Wsparcie </w:t>
            </w:r>
            <w:r w:rsidR="00D62360">
              <w:rPr>
                <w:rFonts w:ascii="Times New Roman" w:hAnsi="Times New Roman"/>
              </w:rPr>
              <w:t xml:space="preserve">operacyjne </w:t>
            </w:r>
            <w:r>
              <w:rPr>
                <w:rFonts w:ascii="Times New Roman" w:hAnsi="Times New Roman"/>
              </w:rPr>
              <w:t>dla instalacji</w:t>
            </w:r>
            <w:r w:rsidR="00DD7230">
              <w:rPr>
                <w:rFonts w:ascii="Times New Roman" w:hAnsi="Times New Roman"/>
              </w:rPr>
              <w:t xml:space="preserve"> OZE</w:t>
            </w:r>
            <w:r>
              <w:rPr>
                <w:rFonts w:ascii="Times New Roman" w:hAnsi="Times New Roman"/>
              </w:rPr>
              <w:t xml:space="preserve">, którym </w:t>
            </w:r>
            <w:r w:rsidR="00DD7230">
              <w:rPr>
                <w:rFonts w:ascii="Times New Roman" w:hAnsi="Times New Roman"/>
              </w:rPr>
              <w:t xml:space="preserve">upływa </w:t>
            </w:r>
            <w:r>
              <w:rPr>
                <w:rFonts w:ascii="Times New Roman" w:hAnsi="Times New Roman"/>
              </w:rPr>
              <w:t>15-letni system wsparcia</w:t>
            </w:r>
          </w:p>
          <w:p w14:paraId="326DA23D" w14:textId="77777777" w:rsidR="00F4600F" w:rsidRPr="00F30CC2" w:rsidRDefault="00F4600F" w:rsidP="00F4600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Hybrydowe instalacje OZE</w:t>
            </w:r>
          </w:p>
          <w:p w14:paraId="2175B913" w14:textId="057FE4FB" w:rsidR="00F50223" w:rsidRPr="00870F69" w:rsidRDefault="00DD6237" w:rsidP="006D71EF">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Pr>
                <w:rFonts w:ascii="Times New Roman" w:hAnsi="Times New Roman"/>
              </w:rPr>
              <w:t xml:space="preserve">Morska energetyka wiatrowa (przepisy uzupełniające) </w:t>
            </w:r>
          </w:p>
          <w:p w14:paraId="51000C7E" w14:textId="4277D174" w:rsidR="00F26A65" w:rsidRPr="00FA55AA" w:rsidRDefault="00F26A65" w:rsidP="00F26A65">
            <w:pPr>
              <w:pStyle w:val="Akapitzlist"/>
              <w:numPr>
                <w:ilvl w:val="0"/>
                <w:numId w:val="158"/>
              </w:numPr>
              <w:autoSpaceDE w:val="0"/>
              <w:autoSpaceDN w:val="0"/>
              <w:adjustRightInd w:val="0"/>
              <w:spacing w:after="120" w:line="240" w:lineRule="auto"/>
              <w:ind w:left="486" w:hanging="93"/>
              <w:jc w:val="both"/>
              <w:rPr>
                <w:rFonts w:ascii="Times New Roman" w:hAnsi="Times New Roman"/>
                <w:color w:val="000000"/>
              </w:rPr>
            </w:pPr>
            <w:r w:rsidRPr="00F26A65">
              <w:rPr>
                <w:rFonts w:ascii="Times New Roman" w:hAnsi="Times New Roman"/>
              </w:rPr>
              <w:t xml:space="preserve">Pozostałe regulacje </w:t>
            </w:r>
          </w:p>
          <w:p w14:paraId="52A2F8B1" w14:textId="060F01FE" w:rsidR="00BF6578" w:rsidRPr="00FA55AA" w:rsidRDefault="00BF6578" w:rsidP="00FA55AA">
            <w:pPr>
              <w:autoSpaceDE w:val="0"/>
              <w:autoSpaceDN w:val="0"/>
              <w:adjustRightInd w:val="0"/>
              <w:spacing w:after="120" w:line="240" w:lineRule="auto"/>
              <w:jc w:val="both"/>
              <w:rPr>
                <w:rFonts w:ascii="Times New Roman" w:hAnsi="Times New Roman"/>
                <w:color w:val="000000"/>
              </w:rPr>
            </w:pPr>
            <w:r w:rsidRPr="00BF6578">
              <w:rPr>
                <w:rFonts w:ascii="Times New Roman" w:hAnsi="Times New Roman"/>
                <w:color w:val="000000"/>
              </w:rPr>
              <w:t xml:space="preserve">Projekt, w zakresie rozwiązań dot. </w:t>
            </w:r>
            <w:proofErr w:type="spellStart"/>
            <w:r w:rsidRPr="00BF6578">
              <w:rPr>
                <w:rFonts w:ascii="Times New Roman" w:hAnsi="Times New Roman"/>
                <w:color w:val="000000"/>
              </w:rPr>
              <w:t>biometanu</w:t>
            </w:r>
            <w:proofErr w:type="spellEnd"/>
            <w:r w:rsidRPr="00BF6578">
              <w:rPr>
                <w:rFonts w:ascii="Times New Roman" w:hAnsi="Times New Roman"/>
                <w:color w:val="000000"/>
              </w:rPr>
              <w:t xml:space="preserve"> oraz klastrów energii, stanowi kamień milowy wskazany w Krajowym Planie Odbudowy i Zwiększania Odporności (KPO).</w:t>
            </w:r>
          </w:p>
          <w:bookmarkEnd w:id="2"/>
          <w:p w14:paraId="12F9F638" w14:textId="57ADC42F" w:rsidR="006D71EF" w:rsidRPr="000D3F79" w:rsidRDefault="006D71EF" w:rsidP="006D71EF">
            <w:pPr>
              <w:autoSpaceDE w:val="0"/>
              <w:autoSpaceDN w:val="0"/>
              <w:adjustRightInd w:val="0"/>
              <w:spacing w:line="240" w:lineRule="auto"/>
              <w:jc w:val="both"/>
              <w:rPr>
                <w:rFonts w:ascii="Times New Roman" w:hAnsi="Times New Roman"/>
                <w:b/>
                <w:bCs/>
                <w:color w:val="000000"/>
                <w:u w:val="single"/>
              </w:rPr>
            </w:pPr>
            <w:r>
              <w:rPr>
                <w:rFonts w:ascii="Times New Roman" w:hAnsi="Times New Roman"/>
                <w:b/>
                <w:bCs/>
                <w:color w:val="000000"/>
                <w:u w:val="single"/>
              </w:rPr>
              <w:t xml:space="preserve">I. </w:t>
            </w:r>
            <w:proofErr w:type="spellStart"/>
            <w:r w:rsidR="006A4F30">
              <w:rPr>
                <w:rFonts w:ascii="Times New Roman" w:hAnsi="Times New Roman"/>
                <w:b/>
                <w:bCs/>
                <w:color w:val="000000"/>
                <w:u w:val="single"/>
              </w:rPr>
              <w:t>B</w:t>
            </w:r>
            <w:r w:rsidRPr="000D3F79">
              <w:rPr>
                <w:rFonts w:ascii="Times New Roman" w:hAnsi="Times New Roman"/>
                <w:b/>
                <w:bCs/>
                <w:color w:val="000000"/>
                <w:u w:val="single"/>
              </w:rPr>
              <w:t>iometan</w:t>
            </w:r>
            <w:proofErr w:type="spellEnd"/>
          </w:p>
          <w:p w14:paraId="1A678089" w14:textId="38F6BB01" w:rsidR="006D71EF" w:rsidRPr="000271BE" w:rsidRDefault="006D71EF" w:rsidP="006D71EF">
            <w:pPr>
              <w:spacing w:after="120" w:line="240" w:lineRule="auto"/>
              <w:jc w:val="both"/>
              <w:rPr>
                <w:rFonts w:ascii="Times New Roman" w:hAnsi="Times New Roman"/>
                <w:color w:val="000000"/>
              </w:rPr>
            </w:pPr>
            <w:r w:rsidRPr="002D5B75">
              <w:rPr>
                <w:rFonts w:ascii="Times New Roman" w:hAnsi="Times New Roman"/>
                <w:color w:val="000000"/>
              </w:rPr>
              <w:t xml:space="preserve">Projektując regulacje w ww. zakresie OZE wzięto pod uwagę zobowiązanie Polski do zwiększania udziału OZE w końcowym zużyciu energii brutto, wynikające z konieczności osiągnięcia celów klimatycznych. Wymaga to podjęcia działań umożliwiających znaczący wzrost dotychczasowego udziału OZE. Rozwój sektora </w:t>
            </w:r>
            <w:proofErr w:type="spellStart"/>
            <w:r w:rsidRPr="002D5B75">
              <w:rPr>
                <w:rFonts w:ascii="Times New Roman" w:hAnsi="Times New Roman"/>
                <w:color w:val="000000"/>
              </w:rPr>
              <w:t>biometanu</w:t>
            </w:r>
            <w:proofErr w:type="spellEnd"/>
            <w:r w:rsidRPr="002D5B75">
              <w:rPr>
                <w:rFonts w:ascii="Times New Roman" w:hAnsi="Times New Roman"/>
                <w:color w:val="000000"/>
              </w:rPr>
              <w:t xml:space="preserve"> w tym kontekście spełnia jeszcze jedną</w:t>
            </w:r>
            <w:r w:rsidR="00CB74E3">
              <w:rPr>
                <w:rFonts w:ascii="Times New Roman" w:hAnsi="Times New Roman"/>
                <w:color w:val="000000"/>
              </w:rPr>
              <w:t>,</w:t>
            </w:r>
            <w:r w:rsidRPr="002D5B75">
              <w:rPr>
                <w:rFonts w:ascii="Times New Roman" w:hAnsi="Times New Roman"/>
                <w:color w:val="000000"/>
              </w:rPr>
              <w:t xml:space="preserve"> dodatkową i szczególną rolę, jaką jest stworzenie warunków, które pozwolą w perspektywie roku 2030 zrealizować działania wynikające z założeń zawartych w Komunikacie Komisji Europejskiej do Parlamentu Europejskiego, Rady Europejskiej, Rady, Komitetu Ekonomiczno</w:t>
            </w:r>
            <w:r w:rsidRPr="003C7E2A">
              <w:rPr>
                <w:rFonts w:ascii="Times New Roman" w:hAnsi="Times New Roman"/>
                <w:color w:val="000000"/>
              </w:rPr>
              <w:t xml:space="preserve">-Społecznego i Komitetu Regionów – </w:t>
            </w:r>
            <w:r w:rsidRPr="003C7E2A">
              <w:rPr>
                <w:rFonts w:ascii="Times New Roman" w:hAnsi="Times New Roman"/>
                <w:i/>
                <w:color w:val="000000"/>
              </w:rPr>
              <w:t xml:space="preserve">Europejski Zielony </w:t>
            </w:r>
            <w:r w:rsidRPr="003C7E2A">
              <w:rPr>
                <w:rFonts w:ascii="Times New Roman" w:hAnsi="Times New Roman"/>
                <w:i/>
                <w:color w:val="000000"/>
              </w:rPr>
              <w:lastRenderedPageBreak/>
              <w:t>Ład</w:t>
            </w:r>
            <w:r w:rsidRPr="003C7E2A">
              <w:rPr>
                <w:rFonts w:ascii="Times New Roman" w:hAnsi="Times New Roman"/>
                <w:color w:val="000000"/>
              </w:rPr>
              <w:t xml:space="preserve"> (Bruksela, dnia 11.12.2019 r., COM(2019) 640 </w:t>
            </w:r>
            <w:proofErr w:type="spellStart"/>
            <w:r w:rsidRPr="003C7E2A">
              <w:rPr>
                <w:rFonts w:ascii="Times New Roman" w:hAnsi="Times New Roman"/>
                <w:color w:val="000000"/>
              </w:rPr>
              <w:t>final</w:t>
            </w:r>
            <w:proofErr w:type="spellEnd"/>
            <w:r w:rsidRPr="003C7E2A">
              <w:rPr>
                <w:rFonts w:ascii="Times New Roman" w:hAnsi="Times New Roman"/>
                <w:color w:val="000000"/>
              </w:rPr>
              <w:t xml:space="preserve">). </w:t>
            </w:r>
            <w:r>
              <w:rPr>
                <w:rFonts w:ascii="Times New Roman" w:hAnsi="Times New Roman"/>
                <w:color w:val="000000"/>
              </w:rPr>
              <w:t>Z zapowiedzi</w:t>
            </w:r>
            <w:r w:rsidRPr="003C7E2A">
              <w:rPr>
                <w:rFonts w:ascii="Times New Roman" w:hAnsi="Times New Roman"/>
                <w:color w:val="000000"/>
              </w:rPr>
              <w:t xml:space="preserve"> </w:t>
            </w:r>
            <w:r w:rsidRPr="003C7E2A">
              <w:rPr>
                <w:rFonts w:ascii="Times New Roman" w:eastAsia="Times New Roman" w:hAnsi="Times New Roman"/>
                <w:bCs/>
                <w:lang w:eastAsia="pl-PL"/>
              </w:rPr>
              <w:t>przedstawicieli KE wynika, że w</w:t>
            </w:r>
            <w:r>
              <w:rPr>
                <w:rFonts w:ascii="Times New Roman" w:eastAsia="Times New Roman" w:hAnsi="Times New Roman"/>
                <w:bCs/>
                <w:lang w:eastAsia="pl-PL"/>
              </w:rPr>
              <w:t> </w:t>
            </w:r>
            <w:r w:rsidRPr="003C7E2A">
              <w:rPr>
                <w:rFonts w:ascii="Times New Roman" w:eastAsia="Times New Roman" w:hAnsi="Times New Roman"/>
                <w:bCs/>
                <w:lang w:eastAsia="pl-PL"/>
              </w:rPr>
              <w:t>ramach procesu dochodzenia do neutralności klimatycznej w 2050 r. należy rozważyć podjęcie intensywniejszych działań już na najbliższą dekadę</w:t>
            </w:r>
            <w:r>
              <w:rPr>
                <w:rFonts w:ascii="Times New Roman" w:eastAsia="Times New Roman" w:hAnsi="Times New Roman"/>
                <w:bCs/>
                <w:lang w:eastAsia="pl-PL"/>
              </w:rPr>
              <w:t xml:space="preserve"> w zakresie </w:t>
            </w:r>
            <w:r w:rsidRPr="003C7E2A">
              <w:rPr>
                <w:rFonts w:ascii="Times New Roman" w:eastAsia="Times New Roman" w:hAnsi="Times New Roman"/>
                <w:bCs/>
                <w:lang w:eastAsia="pl-PL"/>
              </w:rPr>
              <w:t>obniżeni</w:t>
            </w:r>
            <w:r>
              <w:rPr>
                <w:rFonts w:ascii="Times New Roman" w:eastAsia="Times New Roman" w:hAnsi="Times New Roman"/>
                <w:bCs/>
                <w:lang w:eastAsia="pl-PL"/>
              </w:rPr>
              <w:t>a</w:t>
            </w:r>
            <w:r w:rsidRPr="003C7E2A">
              <w:rPr>
                <w:rFonts w:ascii="Times New Roman" w:eastAsia="Times New Roman" w:hAnsi="Times New Roman"/>
                <w:bCs/>
                <w:lang w:eastAsia="pl-PL"/>
              </w:rPr>
              <w:t xml:space="preserve"> emisji CO</w:t>
            </w:r>
            <w:r w:rsidRPr="003C7E2A">
              <w:rPr>
                <w:rFonts w:ascii="Times New Roman" w:eastAsia="Times New Roman" w:hAnsi="Times New Roman"/>
                <w:bCs/>
                <w:vertAlign w:val="subscript"/>
                <w:lang w:eastAsia="pl-PL"/>
              </w:rPr>
              <w:t>2</w:t>
            </w:r>
            <w:r w:rsidRPr="003C7E2A">
              <w:rPr>
                <w:rFonts w:ascii="Times New Roman" w:eastAsia="Times New Roman" w:hAnsi="Times New Roman"/>
                <w:bCs/>
                <w:lang w:eastAsia="pl-PL"/>
              </w:rPr>
              <w:t xml:space="preserve"> </w:t>
            </w:r>
            <w:r>
              <w:rPr>
                <w:rFonts w:ascii="Times New Roman" w:eastAsia="Times New Roman" w:hAnsi="Times New Roman"/>
                <w:bCs/>
                <w:lang w:eastAsia="pl-PL"/>
              </w:rPr>
              <w:t>oraz zwiększania</w:t>
            </w:r>
            <w:r w:rsidRPr="003C7E2A">
              <w:rPr>
                <w:rFonts w:ascii="Times New Roman" w:eastAsia="Times New Roman" w:hAnsi="Times New Roman"/>
                <w:bCs/>
                <w:lang w:eastAsia="pl-PL"/>
              </w:rPr>
              <w:t xml:space="preserve"> udziału energii ze źródeł odnawialnych. </w:t>
            </w:r>
          </w:p>
          <w:p w14:paraId="0FBAD878" w14:textId="11DEB932" w:rsidR="006D71EF" w:rsidRPr="00687093" w:rsidRDefault="006D71EF" w:rsidP="006D71EF">
            <w:pPr>
              <w:spacing w:after="120" w:line="240" w:lineRule="auto"/>
              <w:jc w:val="both"/>
              <w:rPr>
                <w:rFonts w:ascii="Times New Roman" w:hAnsi="Times New Roman"/>
                <w:color w:val="000000"/>
              </w:rPr>
            </w:pPr>
            <w:r w:rsidRPr="00687093">
              <w:rPr>
                <w:rFonts w:ascii="Times New Roman" w:hAnsi="Times New Roman"/>
                <w:color w:val="000000"/>
              </w:rPr>
              <w:t xml:space="preserve">W związku z powyższym, niezbędne jest przyjęcie regulacji, które będą w sposób efektywny zachęcać inwestorów do podejmowania decyzji w zakresie budowy instalacji do wytwarzania i oczyszczania biogazu lub biogazu rolniczego, wytwarzania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rozbudowy oraz przebudowy istniejących sieci gazowych pod kątem umożliwienia zatłaczania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Jak wskazano wyżej, stworzenie optymalnych regulacji prawnych, które stymulować będą stabilny rozwój tego sektora energetyki odnawialnej w horyzoncie długoterminowym jest niezmiernie istotne dla możliwości realizacji zobowiązań międzynarodowych w zakresie energetyki odnawialnej.</w:t>
            </w:r>
            <w:r>
              <w:rPr>
                <w:rFonts w:ascii="Times New Roman" w:hAnsi="Times New Roman"/>
                <w:color w:val="000000"/>
              </w:rPr>
              <w:t xml:space="preserve"> </w:t>
            </w:r>
          </w:p>
          <w:p w14:paraId="0E0F3F20"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Jak wskazują różne źródła, potencjał wytwarzania biogazu/</w:t>
            </w:r>
            <w:proofErr w:type="spellStart"/>
            <w:r w:rsidRPr="00687093">
              <w:rPr>
                <w:rFonts w:ascii="Times New Roman" w:hAnsi="Times New Roman"/>
              </w:rPr>
              <w:t>biometanu</w:t>
            </w:r>
            <w:proofErr w:type="spellEnd"/>
            <w:r w:rsidRPr="00687093">
              <w:rPr>
                <w:rFonts w:ascii="Times New Roman" w:hAnsi="Times New Roman"/>
              </w:rPr>
              <w:t xml:space="preserve"> w oparciu o krajowe surowce jest relatywnie duży. Przykładowo, potencjał energetyczny samego sektora rolno-spożywczego w zakresie produkcji biogazu rolniczego szacuje się na ponad 7,8 mld m</w:t>
            </w:r>
            <w:r w:rsidRPr="00687093">
              <w:rPr>
                <w:rFonts w:ascii="Times New Roman" w:hAnsi="Times New Roman"/>
                <w:vertAlign w:val="superscript"/>
              </w:rPr>
              <w:t>3</w:t>
            </w:r>
            <w:r w:rsidRPr="00687093">
              <w:rPr>
                <w:rFonts w:ascii="Times New Roman" w:hAnsi="Times New Roman"/>
              </w:rPr>
              <w:t xml:space="preserve"> rocznie („</w:t>
            </w:r>
            <w:r w:rsidRPr="00903698">
              <w:rPr>
                <w:rFonts w:ascii="Times New Roman" w:hAnsi="Times New Roman"/>
              </w:rPr>
              <w:t>Krajowy plan na rzecz energii i klimatu na lata 2021-2030</w:t>
            </w:r>
            <w:r w:rsidRPr="00687093">
              <w:rPr>
                <w:rFonts w:ascii="Times New Roman" w:hAnsi="Times New Roman"/>
              </w:rPr>
              <w:t>”), pomijając ograniczenia w zakresie możliwości zatłoczenia i dystrybucji do odbiorcy przyłączonego do sieci gazowej. Z kolei, według szacunk</w:t>
            </w:r>
            <w:r>
              <w:rPr>
                <w:rFonts w:ascii="Times New Roman" w:hAnsi="Times New Roman"/>
              </w:rPr>
              <w:t>ów</w:t>
            </w:r>
            <w:r w:rsidRPr="00687093">
              <w:rPr>
                <w:rFonts w:ascii="Times New Roman" w:hAnsi="Times New Roman"/>
              </w:rPr>
              <w:t xml:space="preserve"> spółki PGNiG S.A., krajowy potencjał wytwarzania </w:t>
            </w:r>
            <w:proofErr w:type="spellStart"/>
            <w:r w:rsidRPr="00687093">
              <w:rPr>
                <w:rFonts w:ascii="Times New Roman" w:hAnsi="Times New Roman"/>
              </w:rPr>
              <w:t>biometanu</w:t>
            </w:r>
            <w:proofErr w:type="spellEnd"/>
            <w:r w:rsidRPr="00687093">
              <w:rPr>
                <w:rFonts w:ascii="Times New Roman" w:hAnsi="Times New Roman"/>
              </w:rPr>
              <w:t xml:space="preserve"> wynosi ok. 7 mld m</w:t>
            </w:r>
            <w:r w:rsidRPr="00687093">
              <w:rPr>
                <w:rFonts w:ascii="Times New Roman" w:hAnsi="Times New Roman"/>
                <w:vertAlign w:val="superscript"/>
              </w:rPr>
              <w:t>3</w:t>
            </w:r>
            <w:r w:rsidRPr="00591BC3">
              <w:rPr>
                <w:rFonts w:ascii="Times New Roman" w:hAnsi="Times New Roman"/>
              </w:rPr>
              <w:t>.</w:t>
            </w:r>
          </w:p>
          <w:p w14:paraId="1FA5AAC2" w14:textId="77777777" w:rsidR="00CE6683" w:rsidRDefault="006D71EF" w:rsidP="00CE6683">
            <w:pPr>
              <w:spacing w:after="120" w:line="240" w:lineRule="auto"/>
              <w:jc w:val="both"/>
              <w:rPr>
                <w:rFonts w:ascii="Times New Roman" w:hAnsi="Times New Roman"/>
                <w:color w:val="000000"/>
              </w:rPr>
            </w:pPr>
            <w:r w:rsidRPr="00687093">
              <w:rPr>
                <w:rFonts w:ascii="Times New Roman" w:hAnsi="Times New Roman"/>
                <w:color w:val="000000"/>
              </w:rPr>
              <w:t xml:space="preserve">Istniejące regulacje prawne w zakresie wsparcia </w:t>
            </w:r>
            <w:r>
              <w:rPr>
                <w:rFonts w:ascii="Times New Roman" w:hAnsi="Times New Roman"/>
                <w:color w:val="000000"/>
              </w:rPr>
              <w:t>OZE</w:t>
            </w:r>
            <w:r w:rsidRPr="00687093">
              <w:rPr>
                <w:rFonts w:ascii="Times New Roman" w:hAnsi="Times New Roman"/>
                <w:color w:val="000000"/>
              </w:rPr>
              <w:t xml:space="preserve"> nie odpowiadają faktycznym potrzebom w</w:t>
            </w:r>
            <w:r>
              <w:rPr>
                <w:rFonts w:ascii="Times New Roman" w:hAnsi="Times New Roman"/>
                <w:color w:val="000000"/>
              </w:rPr>
              <w:t> </w:t>
            </w:r>
            <w:r w:rsidRPr="00687093">
              <w:rPr>
                <w:rFonts w:ascii="Times New Roman" w:hAnsi="Times New Roman"/>
                <w:color w:val="000000"/>
              </w:rPr>
              <w:t xml:space="preserve">dziedzinie funkcjonowania instalacji wytwarzania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przez co, w praktyce, nie stymulują rozwoju tych projektów. W efekcie, pomimo że zgodnie z obowiązującym stanem prawnym, od kilku lat możliwe jest wprowadzanie oczyszczonego biogazu rolniczego do sieci gazowych dystrybucyjnych, do dziś żadna tego rodzaju instalacja nie rozpoczęła działalności w kraju.</w:t>
            </w:r>
          </w:p>
          <w:p w14:paraId="79F565B2" w14:textId="179AF8AC" w:rsidR="006D71EF" w:rsidRPr="00687093" w:rsidRDefault="006D71EF" w:rsidP="006D71EF">
            <w:pPr>
              <w:spacing w:line="240" w:lineRule="auto"/>
              <w:jc w:val="both"/>
              <w:rPr>
                <w:rFonts w:ascii="Times New Roman" w:hAnsi="Times New Roman"/>
                <w:color w:val="000000"/>
              </w:rPr>
            </w:pPr>
            <w:r w:rsidRPr="00687093">
              <w:rPr>
                <w:rFonts w:ascii="Times New Roman" w:hAnsi="Times New Roman"/>
                <w:color w:val="000000"/>
              </w:rPr>
              <w:t>Powody zaistniałej sytuacji zostały zdiagnozowane</w:t>
            </w:r>
            <w:r w:rsidR="00CB74E3">
              <w:rPr>
                <w:rFonts w:ascii="Times New Roman" w:hAnsi="Times New Roman"/>
                <w:color w:val="000000"/>
              </w:rPr>
              <w:t>,</w:t>
            </w:r>
            <w:r w:rsidRPr="00687093">
              <w:rPr>
                <w:rFonts w:ascii="Times New Roman" w:hAnsi="Times New Roman"/>
                <w:color w:val="000000"/>
              </w:rPr>
              <w:t xml:space="preserve"> m.in.</w:t>
            </w:r>
            <w:r w:rsidR="00CB74E3">
              <w:rPr>
                <w:rFonts w:ascii="Times New Roman" w:hAnsi="Times New Roman"/>
                <w:color w:val="000000"/>
              </w:rPr>
              <w:t>,</w:t>
            </w:r>
            <w:r w:rsidRPr="00687093">
              <w:rPr>
                <w:rFonts w:ascii="Times New Roman" w:hAnsi="Times New Roman"/>
                <w:color w:val="000000"/>
              </w:rPr>
              <w:t xml:space="preserve"> w ramach analiz prowadzonych przez właściwe ministerstwa i należą do nich </w:t>
            </w:r>
            <w:r w:rsidR="00C36301">
              <w:rPr>
                <w:rFonts w:ascii="Times New Roman" w:hAnsi="Times New Roman"/>
                <w:color w:val="000000"/>
              </w:rPr>
              <w:t>m.in.</w:t>
            </w:r>
            <w:r w:rsidRPr="00687093">
              <w:rPr>
                <w:rFonts w:ascii="Times New Roman" w:hAnsi="Times New Roman"/>
                <w:color w:val="000000"/>
              </w:rPr>
              <w:t>:</w:t>
            </w:r>
          </w:p>
          <w:p w14:paraId="564B4AE9" w14:textId="77777777" w:rsidR="006D71EF" w:rsidRPr="00687093" w:rsidRDefault="006D71EF" w:rsidP="006D71EF">
            <w:pPr>
              <w:pStyle w:val="Akapitzlist"/>
              <w:numPr>
                <w:ilvl w:val="0"/>
                <w:numId w:val="68"/>
              </w:numPr>
              <w:spacing w:line="240" w:lineRule="auto"/>
              <w:ind w:left="344" w:hanging="344"/>
              <w:contextualSpacing w:val="0"/>
              <w:jc w:val="both"/>
              <w:rPr>
                <w:rFonts w:ascii="Times New Roman" w:hAnsi="Times New Roman"/>
                <w:color w:val="000000"/>
              </w:rPr>
            </w:pPr>
            <w:r w:rsidRPr="00687093">
              <w:rPr>
                <w:rFonts w:ascii="Times New Roman" w:hAnsi="Times New Roman"/>
                <w:color w:val="000000"/>
              </w:rPr>
              <w:t xml:space="preserve">ograniczenia o charakterze prawnym, w szczególności braki w zakresie: definicji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reguł prawnych dotyczących prowadzenia działalności gospodarczej w zakresie wytwarzania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oraz określenia wymogów (w tym dotyczących parametrów jakościowych) dla nowego rodzaju paliwa gazowego. Ponadto, obecne przepisy są ograniczone jedynie do możliwości zatłaczania biogazu rolniczego wyłącznie do sieci dystrybucyjnej gazowej;</w:t>
            </w:r>
          </w:p>
          <w:p w14:paraId="2185A031" w14:textId="287375C7" w:rsidR="006D71EF" w:rsidRPr="00687093" w:rsidRDefault="006D71EF" w:rsidP="006D71EF">
            <w:pPr>
              <w:pStyle w:val="Akapitzlist"/>
              <w:numPr>
                <w:ilvl w:val="0"/>
                <w:numId w:val="68"/>
              </w:numPr>
              <w:spacing w:after="120" w:line="240" w:lineRule="auto"/>
              <w:ind w:left="344" w:hanging="344"/>
              <w:contextualSpacing w:val="0"/>
              <w:jc w:val="both"/>
              <w:rPr>
                <w:rFonts w:ascii="Times New Roman" w:hAnsi="Times New Roman"/>
                <w:color w:val="000000"/>
              </w:rPr>
            </w:pPr>
            <w:r w:rsidRPr="00687093">
              <w:rPr>
                <w:rFonts w:ascii="Times New Roman" w:hAnsi="Times New Roman"/>
                <w:color w:val="000000"/>
              </w:rPr>
              <w:t>bariery techniczne związane z możliwością realizacji przyłączeń do sieci gazowej</w:t>
            </w:r>
            <w:r w:rsidRPr="00687093">
              <w:rPr>
                <w:rStyle w:val="Odwoaniedokomentarza"/>
                <w:rFonts w:ascii="Times New Roman" w:hAnsi="Times New Roman"/>
                <w:sz w:val="22"/>
                <w:szCs w:val="22"/>
              </w:rPr>
              <w:t xml:space="preserve">. Wynikają one przede wszystkim </w:t>
            </w:r>
            <w:r w:rsidRPr="00687093">
              <w:rPr>
                <w:rFonts w:ascii="Times New Roman" w:hAnsi="Times New Roman"/>
                <w:color w:val="000000"/>
              </w:rPr>
              <w:t xml:space="preserve">ze zdiagnozowanych ograniczonych możliwości w zakresie przyjmowania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do sieci dystrybucyjnych (sieci średniego ciśnienia) z uwagi na niewystarczający poziom chłonności tych stref dystrybucji gazu ziemnego w</w:t>
            </w:r>
            <w:r>
              <w:rPr>
                <w:rFonts w:ascii="Times New Roman" w:hAnsi="Times New Roman"/>
                <w:color w:val="000000"/>
              </w:rPr>
              <w:t> </w:t>
            </w:r>
            <w:r w:rsidRPr="00687093">
              <w:rPr>
                <w:rFonts w:ascii="Times New Roman" w:hAnsi="Times New Roman"/>
                <w:color w:val="000000"/>
              </w:rPr>
              <w:t xml:space="preserve">porównaniu z potencjalną ilością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wprowadzanego do sieci gazowej</w:t>
            </w:r>
            <w:r w:rsidR="00CB74E3">
              <w:rPr>
                <w:rFonts w:ascii="Times New Roman" w:hAnsi="Times New Roman"/>
                <w:color w:val="000000"/>
              </w:rPr>
              <w:t>.</w:t>
            </w:r>
            <w:r w:rsidRPr="00687093">
              <w:rPr>
                <w:rFonts w:ascii="Times New Roman" w:hAnsi="Times New Roman"/>
                <w:color w:val="000000"/>
              </w:rPr>
              <w:t xml:space="preserve"> </w:t>
            </w:r>
          </w:p>
          <w:p w14:paraId="1E5F3F96" w14:textId="77777777" w:rsidR="006D71EF" w:rsidRPr="00687093" w:rsidRDefault="006D71EF" w:rsidP="006D71EF">
            <w:pPr>
              <w:spacing w:after="120" w:line="240" w:lineRule="auto"/>
              <w:jc w:val="both"/>
              <w:rPr>
                <w:rFonts w:ascii="Times New Roman" w:hAnsi="Times New Roman"/>
                <w:color w:val="000000"/>
              </w:rPr>
            </w:pPr>
            <w:r w:rsidRPr="00687093">
              <w:rPr>
                <w:rFonts w:ascii="Times New Roman" w:hAnsi="Times New Roman"/>
                <w:color w:val="000000"/>
              </w:rPr>
              <w:t xml:space="preserve">Wskazane powyżej ograniczenia oraz bariery wprowadzają istotny poziom niestabilności dla tego rodzaju inwestycji. Tymczasem proces inwestycyjny w zakresie budowy i eksploatacji instalacji do wytwarzania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które z racji lokalizacji surowców do produkcji są instalacjami rozproszonymi, wymaga zaangażowania ze strony inwestorów znacznych nakładów finansowych, nie tylko na etapie budowy samej instalacji, ale przede wszystkim w trakcie jej funkcjonowania. Wynika to z potrzeby zapewnienia stabilnych dostaw substratów do produkcji biogazu lub biogazu rolniczego, z którego wytwarzany jest następnie </w:t>
            </w:r>
            <w:proofErr w:type="spellStart"/>
            <w:r w:rsidRPr="00687093">
              <w:rPr>
                <w:rFonts w:ascii="Times New Roman" w:hAnsi="Times New Roman"/>
                <w:color w:val="000000"/>
              </w:rPr>
              <w:t>biometan</w:t>
            </w:r>
            <w:proofErr w:type="spellEnd"/>
            <w:r w:rsidRPr="00687093">
              <w:rPr>
                <w:rFonts w:ascii="Times New Roman" w:hAnsi="Times New Roman"/>
                <w:color w:val="000000"/>
              </w:rPr>
              <w:t>.</w:t>
            </w:r>
          </w:p>
          <w:p w14:paraId="4717116B"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bCs/>
              </w:rPr>
              <w:t xml:space="preserve">Opracowania branżowe oraz doświadczenie krajów, w których branża </w:t>
            </w:r>
            <w:proofErr w:type="spellStart"/>
            <w:r w:rsidRPr="00687093">
              <w:rPr>
                <w:rFonts w:ascii="Times New Roman" w:hAnsi="Times New Roman"/>
                <w:bCs/>
              </w:rPr>
              <w:t>biometanu</w:t>
            </w:r>
            <w:proofErr w:type="spellEnd"/>
            <w:r w:rsidRPr="00687093">
              <w:rPr>
                <w:rFonts w:ascii="Times New Roman" w:hAnsi="Times New Roman"/>
                <w:bCs/>
              </w:rPr>
              <w:t xml:space="preserve"> rozwija się aktualnie najszybciej, wyraźnie wskazują, że rozwój tego sektora przynosi szereg korzyści w wielu obszarach gospodarki. Przede wszystkim, </w:t>
            </w:r>
            <w:proofErr w:type="spellStart"/>
            <w:r w:rsidRPr="00687093">
              <w:rPr>
                <w:rFonts w:ascii="Times New Roman" w:hAnsi="Times New Roman"/>
                <w:bCs/>
              </w:rPr>
              <w:t>biometan</w:t>
            </w:r>
            <w:proofErr w:type="spellEnd"/>
            <w:r w:rsidRPr="00687093">
              <w:rPr>
                <w:rFonts w:ascii="Times New Roman" w:hAnsi="Times New Roman"/>
                <w:bCs/>
              </w:rPr>
              <w:t xml:space="preserve"> efektywnie zmniejsza </w:t>
            </w:r>
            <w:r w:rsidRPr="00687093">
              <w:rPr>
                <w:rFonts w:ascii="Times New Roman" w:hAnsi="Times New Roman"/>
              </w:rPr>
              <w:t>emisję CO</w:t>
            </w:r>
            <w:r w:rsidRPr="00687093">
              <w:rPr>
                <w:rFonts w:ascii="Times New Roman" w:hAnsi="Times New Roman"/>
                <w:vertAlign w:val="subscript"/>
              </w:rPr>
              <w:t>2</w:t>
            </w:r>
            <w:r w:rsidRPr="00687093">
              <w:rPr>
                <w:rFonts w:ascii="Times New Roman" w:hAnsi="Times New Roman"/>
              </w:rPr>
              <w:t xml:space="preserve">, co pozwala, w zależności od kierunku końcowego zastosowania tego paliwa gazowego, redukować emisje w takich sektorach gospodarki jak: transport, ciepłownictwo czy elektroenergetyka. Ponadto, wpływa na zwiększenie realizacji celów w zakresie udziału odnawialnej energii zgodnie z wymogami Unii Europejskiej. Należy mieć na uwadze, że skala redukcji emisji gazów cieplarnianych wynikająca ze stosowania </w:t>
            </w:r>
            <w:proofErr w:type="spellStart"/>
            <w:r w:rsidRPr="00687093">
              <w:rPr>
                <w:rFonts w:ascii="Times New Roman" w:hAnsi="Times New Roman"/>
              </w:rPr>
              <w:t>biometanu</w:t>
            </w:r>
            <w:proofErr w:type="spellEnd"/>
            <w:r w:rsidRPr="00687093">
              <w:rPr>
                <w:rFonts w:ascii="Times New Roman" w:hAnsi="Times New Roman"/>
              </w:rPr>
              <w:t xml:space="preserve"> zależy od rodzaju użytego surowca oraz technologii pozyskania i logistyki.</w:t>
            </w:r>
          </w:p>
          <w:p w14:paraId="5B040AFD" w14:textId="4EB57330"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Zgodnie z analizami przeprowadzonymi przez Instytut Nafty i Gazu – Państwowy Instytut Badawczy</w:t>
            </w:r>
            <w:r w:rsidR="00CB74E3">
              <w:rPr>
                <w:rFonts w:ascii="Times New Roman" w:hAnsi="Times New Roman"/>
              </w:rPr>
              <w:t>,</w:t>
            </w:r>
            <w:r w:rsidRPr="00687093">
              <w:rPr>
                <w:rFonts w:ascii="Times New Roman" w:hAnsi="Times New Roman"/>
              </w:rPr>
              <w:t xml:space="preserve"> </w:t>
            </w:r>
            <w:proofErr w:type="spellStart"/>
            <w:r w:rsidRPr="00687093">
              <w:rPr>
                <w:rFonts w:ascii="Times New Roman" w:hAnsi="Times New Roman"/>
              </w:rPr>
              <w:t>biometan</w:t>
            </w:r>
            <w:proofErr w:type="spellEnd"/>
            <w:r w:rsidRPr="00687093">
              <w:rPr>
                <w:rFonts w:ascii="Times New Roman" w:hAnsi="Times New Roman"/>
              </w:rPr>
              <w:t xml:space="preserve"> dysponuje potencjałem redukcji liczonym zgodnie z przepisami zał. IV </w:t>
            </w:r>
            <w:r w:rsidR="00064CC9">
              <w:rPr>
                <w:rFonts w:ascii="Times New Roman" w:hAnsi="Times New Roman"/>
              </w:rPr>
              <w:t>RED II</w:t>
            </w:r>
            <w:r w:rsidRPr="00687093">
              <w:rPr>
                <w:rFonts w:ascii="Times New Roman" w:hAnsi="Times New Roman"/>
              </w:rPr>
              <w:t xml:space="preserve"> od 17% do 202%. Poziom redukcji jest uzależniony od rodzaju surowca do produkcji (najkorzystniejsze jest stosowanie surowców odpadowych oraz obornika) oraz odpowiedniej technologii produkcji (np. stosowanie zamkniętego zbiornika na </w:t>
            </w:r>
            <w:proofErr w:type="spellStart"/>
            <w:r w:rsidRPr="00687093">
              <w:rPr>
                <w:rFonts w:ascii="Times New Roman" w:hAnsi="Times New Roman"/>
              </w:rPr>
              <w:t>poferment</w:t>
            </w:r>
            <w:proofErr w:type="spellEnd"/>
            <w:r w:rsidRPr="00687093">
              <w:rPr>
                <w:rFonts w:ascii="Times New Roman" w:hAnsi="Times New Roman"/>
              </w:rPr>
              <w:t xml:space="preserve"> z dopalaniem gazów odlotowych czy też wykorzystanie </w:t>
            </w:r>
            <w:proofErr w:type="spellStart"/>
            <w:r w:rsidRPr="00687093">
              <w:rPr>
                <w:rFonts w:ascii="Times New Roman" w:hAnsi="Times New Roman"/>
              </w:rPr>
              <w:t>pofermentu</w:t>
            </w:r>
            <w:proofErr w:type="spellEnd"/>
            <w:r w:rsidRPr="00687093">
              <w:rPr>
                <w:rFonts w:ascii="Times New Roman" w:hAnsi="Times New Roman"/>
              </w:rPr>
              <w:t xml:space="preserve"> jako nawozu).</w:t>
            </w:r>
          </w:p>
          <w:p w14:paraId="452672F0" w14:textId="65C9BA1B"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 xml:space="preserve">Rozwój sektora produkcji </w:t>
            </w:r>
            <w:proofErr w:type="spellStart"/>
            <w:r w:rsidRPr="00687093">
              <w:rPr>
                <w:rFonts w:ascii="Times New Roman" w:hAnsi="Times New Roman"/>
              </w:rPr>
              <w:t>biometanu</w:t>
            </w:r>
            <w:proofErr w:type="spellEnd"/>
            <w:r w:rsidRPr="00687093">
              <w:rPr>
                <w:rFonts w:ascii="Times New Roman" w:hAnsi="Times New Roman"/>
              </w:rPr>
              <w:t xml:space="preserve"> oznacza potrzebę wybudowania licznych i rozproszonych terytorialnie zakładów, wpływając na decentralizację dostaw gazu, stabilizując system i powodując zmniejszenie uzależnienia od importu tego surowca. Jest to szczególnie istotne biorąc pod uwagę, że zgodnie z</w:t>
            </w:r>
            <w:r w:rsidR="00476693">
              <w:rPr>
                <w:rFonts w:ascii="Times New Roman" w:hAnsi="Times New Roman"/>
              </w:rPr>
              <w:t xml:space="preserve"> </w:t>
            </w:r>
            <w:r w:rsidRPr="00903698">
              <w:rPr>
                <w:rFonts w:ascii="Times New Roman" w:hAnsi="Times New Roman"/>
              </w:rPr>
              <w:t>Polityk</w:t>
            </w:r>
            <w:r w:rsidR="00476693">
              <w:rPr>
                <w:rFonts w:ascii="Times New Roman" w:hAnsi="Times New Roman"/>
              </w:rPr>
              <w:t>ą</w:t>
            </w:r>
            <w:r w:rsidRPr="00903698">
              <w:rPr>
                <w:rFonts w:ascii="Times New Roman" w:hAnsi="Times New Roman"/>
              </w:rPr>
              <w:t xml:space="preserve"> energetyczn</w:t>
            </w:r>
            <w:r w:rsidR="00476693">
              <w:rPr>
                <w:rFonts w:ascii="Times New Roman" w:hAnsi="Times New Roman"/>
              </w:rPr>
              <w:t>ą</w:t>
            </w:r>
            <w:r w:rsidRPr="00903698">
              <w:rPr>
                <w:rFonts w:ascii="Times New Roman" w:hAnsi="Times New Roman"/>
              </w:rPr>
              <w:t xml:space="preserve"> </w:t>
            </w:r>
            <w:r w:rsidR="00476693">
              <w:rPr>
                <w:rFonts w:ascii="Times New Roman" w:hAnsi="Times New Roman"/>
              </w:rPr>
              <w:t>Polski</w:t>
            </w:r>
            <w:r w:rsidRPr="00903698">
              <w:rPr>
                <w:rFonts w:ascii="Times New Roman" w:hAnsi="Times New Roman"/>
              </w:rPr>
              <w:t xml:space="preserve"> do 2040 r</w:t>
            </w:r>
            <w:r w:rsidRPr="00687093">
              <w:rPr>
                <w:rFonts w:ascii="Times New Roman" w:hAnsi="Times New Roman"/>
              </w:rPr>
              <w:t>., krajowe zużycie paliw gazowych będzie systematycznie wzrastać</w:t>
            </w:r>
            <w:r w:rsidR="00CB74E3">
              <w:rPr>
                <w:rFonts w:ascii="Times New Roman" w:hAnsi="Times New Roman"/>
              </w:rPr>
              <w:t>,</w:t>
            </w:r>
            <w:r w:rsidRPr="00687093">
              <w:rPr>
                <w:rFonts w:ascii="Times New Roman" w:hAnsi="Times New Roman"/>
              </w:rPr>
              <w:t xml:space="preserve"> przekraczając 18 mld m</w:t>
            </w:r>
            <w:r w:rsidRPr="00687093">
              <w:rPr>
                <w:rFonts w:ascii="Times New Roman" w:hAnsi="Times New Roman"/>
                <w:vertAlign w:val="superscript"/>
              </w:rPr>
              <w:t>3</w:t>
            </w:r>
            <w:r w:rsidRPr="00687093">
              <w:rPr>
                <w:rFonts w:ascii="Times New Roman" w:hAnsi="Times New Roman"/>
              </w:rPr>
              <w:t>. Jednocześnie wydobycie gazu ziemnego na poziomie ok. 4 mld m</w:t>
            </w:r>
            <w:r w:rsidRPr="00687093">
              <w:rPr>
                <w:rFonts w:ascii="Times New Roman" w:hAnsi="Times New Roman"/>
                <w:vertAlign w:val="superscript"/>
              </w:rPr>
              <w:t xml:space="preserve">3 </w:t>
            </w:r>
            <w:r w:rsidRPr="00687093">
              <w:rPr>
                <w:rFonts w:ascii="Times New Roman" w:hAnsi="Times New Roman"/>
              </w:rPr>
              <w:t>pokrywa obecnie zaledwie 22% zapotrzebowania na to paliwo. Postępujący wzrost konsumpcji gazu ziemnego spowodowany jest między innymi stale zwiększającym się poziomem wykorzystania tego surowca na potrzeby działania systemu elektroenergetycznego, popytu ze strony sektora transportu oraz w wyniku postępującej gazyfikacji kraju.</w:t>
            </w:r>
          </w:p>
          <w:p w14:paraId="6F1431A8"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 xml:space="preserve">Biorąc pod uwagę powyższe, istotnym elementem przyszłości oraz bezpieczeństwa państwa jest optymalne wykorzystanie lokalnego potencjału wytwarzania </w:t>
            </w:r>
            <w:proofErr w:type="spellStart"/>
            <w:r w:rsidRPr="00687093">
              <w:rPr>
                <w:rFonts w:ascii="Times New Roman" w:hAnsi="Times New Roman"/>
              </w:rPr>
              <w:t>biometanu</w:t>
            </w:r>
            <w:proofErr w:type="spellEnd"/>
            <w:r w:rsidRPr="00687093">
              <w:rPr>
                <w:rFonts w:ascii="Times New Roman" w:hAnsi="Times New Roman"/>
              </w:rPr>
              <w:t xml:space="preserve">. </w:t>
            </w:r>
            <w:proofErr w:type="spellStart"/>
            <w:r w:rsidRPr="00687093">
              <w:rPr>
                <w:rFonts w:ascii="Times New Roman" w:hAnsi="Times New Roman"/>
              </w:rPr>
              <w:t>Biometan</w:t>
            </w:r>
            <w:proofErr w:type="spellEnd"/>
            <w:r w:rsidRPr="00687093">
              <w:rPr>
                <w:rFonts w:ascii="Times New Roman" w:hAnsi="Times New Roman"/>
              </w:rPr>
              <w:t xml:space="preserve"> wytwarzany z surowców pozyskiwanych w najbliższej okolicy </w:t>
            </w:r>
            <w:r w:rsidRPr="00687093">
              <w:rPr>
                <w:rFonts w:ascii="Times New Roman" w:hAnsi="Times New Roman"/>
              </w:rPr>
              <w:lastRenderedPageBreak/>
              <w:t xml:space="preserve">i wprowadzany do sieci gazowej może być w przyszłości istotnym elementem dywersyfikacji dostaw paliw gazowych na krajowy rynek, zmniejszając krajowe uzależnienie od importu nośników energii. </w:t>
            </w:r>
          </w:p>
          <w:p w14:paraId="74C1FD61" w14:textId="77777777" w:rsidR="006D71EF" w:rsidRPr="00687093" w:rsidRDefault="006D71EF" w:rsidP="006D71EF">
            <w:pPr>
              <w:spacing w:after="120" w:line="240" w:lineRule="auto"/>
              <w:jc w:val="both"/>
              <w:rPr>
                <w:rFonts w:ascii="Times New Roman" w:hAnsi="Times New Roman"/>
              </w:rPr>
            </w:pPr>
            <w:r w:rsidRPr="00687093">
              <w:rPr>
                <w:rFonts w:ascii="Times New Roman" w:hAnsi="Times New Roman"/>
              </w:rPr>
              <w:t xml:space="preserve">Wykorzystywanie </w:t>
            </w:r>
            <w:proofErr w:type="spellStart"/>
            <w:r w:rsidRPr="00687093">
              <w:rPr>
                <w:rFonts w:ascii="Times New Roman" w:hAnsi="Times New Roman"/>
              </w:rPr>
              <w:t>biometanu</w:t>
            </w:r>
            <w:proofErr w:type="spellEnd"/>
            <w:r w:rsidRPr="00687093">
              <w:rPr>
                <w:rFonts w:ascii="Times New Roman" w:hAnsi="Times New Roman"/>
              </w:rPr>
              <w:t xml:space="preserve"> jest również istotne w kontekście odchodzenia od składowania, na rzecz prowadzenia gospodarki o obiegu zamkniętym („</w:t>
            </w:r>
            <w:proofErr w:type="spellStart"/>
            <w:r w:rsidRPr="00903698">
              <w:rPr>
                <w:rFonts w:ascii="Times New Roman" w:hAnsi="Times New Roman"/>
              </w:rPr>
              <w:t>circular</w:t>
            </w:r>
            <w:proofErr w:type="spellEnd"/>
            <w:r w:rsidRPr="00903698">
              <w:rPr>
                <w:rFonts w:ascii="Times New Roman" w:hAnsi="Times New Roman"/>
              </w:rPr>
              <w:t xml:space="preserve"> </w:t>
            </w:r>
            <w:proofErr w:type="spellStart"/>
            <w:r w:rsidRPr="00903698">
              <w:rPr>
                <w:rFonts w:ascii="Times New Roman" w:hAnsi="Times New Roman"/>
              </w:rPr>
              <w:t>economy</w:t>
            </w:r>
            <w:proofErr w:type="spellEnd"/>
            <w:r w:rsidRPr="00687093">
              <w:rPr>
                <w:rFonts w:ascii="Times New Roman" w:hAnsi="Times New Roman"/>
              </w:rPr>
              <w:t>”) – tj. pełnego odzyskiwania energii oraz surowców w celu wielokrotnego ich wykorzystywania. Pozwoli to efektywnie zmniejszyć uciążliwości środowiskowe, a także koszty zagospodarowania bioodpadów i pozostałości komunalnych, rolniczych, z gospodarstw domowych oraz pochodzących z różnych gałęzi przemysłu spożywczego.</w:t>
            </w:r>
          </w:p>
          <w:p w14:paraId="51225C1C" w14:textId="77777777" w:rsidR="006D71EF" w:rsidRPr="00687093" w:rsidRDefault="006D71EF" w:rsidP="006D71EF">
            <w:pPr>
              <w:spacing w:after="120" w:line="240" w:lineRule="auto"/>
              <w:jc w:val="both"/>
              <w:rPr>
                <w:rFonts w:ascii="Times New Roman" w:hAnsi="Times New Roman"/>
              </w:rPr>
            </w:pPr>
            <w:r w:rsidRPr="00687093">
              <w:rPr>
                <w:rStyle w:val="A9"/>
                <w:rFonts w:ascii="Times New Roman" w:hAnsi="Times New Roman" w:cs="Times New Roman"/>
              </w:rPr>
              <w:t xml:space="preserve">Dodatkowo, wytwarzanie </w:t>
            </w:r>
            <w:proofErr w:type="spellStart"/>
            <w:r w:rsidRPr="00687093">
              <w:rPr>
                <w:rStyle w:val="A9"/>
                <w:rFonts w:ascii="Times New Roman" w:hAnsi="Times New Roman" w:cs="Times New Roman"/>
              </w:rPr>
              <w:t>biometanu</w:t>
            </w:r>
            <w:proofErr w:type="spellEnd"/>
            <w:r w:rsidRPr="00687093">
              <w:rPr>
                <w:rStyle w:val="A9"/>
                <w:rFonts w:ascii="Times New Roman" w:hAnsi="Times New Roman" w:cs="Times New Roman"/>
              </w:rPr>
              <w:t xml:space="preserve"> aktywizuje lokalną przedsiębiorczość dając impuls do rozwoju </w:t>
            </w:r>
            <w:r w:rsidRPr="00687093">
              <w:rPr>
                <w:rFonts w:ascii="Times New Roman" w:hAnsi="Times New Roman"/>
                <w:color w:val="000000"/>
              </w:rPr>
              <w:t>małych i średnich przedsiębiorstw</w:t>
            </w:r>
            <w:r w:rsidRPr="00687093">
              <w:rPr>
                <w:rStyle w:val="A9"/>
                <w:rFonts w:ascii="Times New Roman" w:hAnsi="Times New Roman" w:cs="Times New Roman"/>
              </w:rPr>
              <w:t xml:space="preserve">, </w:t>
            </w:r>
            <w:r w:rsidRPr="00687093">
              <w:rPr>
                <w:rFonts w:ascii="Times New Roman" w:hAnsi="Times New Roman"/>
              </w:rPr>
              <w:t xml:space="preserve">tworzy wartość dodaną w postaci nowych miejsc pracy w całym łańcuchu wartości, w zakresie realizacji </w:t>
            </w:r>
            <w:r w:rsidRPr="00687093">
              <w:rPr>
                <w:rStyle w:val="A9"/>
                <w:rFonts w:ascii="Times New Roman" w:hAnsi="Times New Roman" w:cs="Times New Roman"/>
              </w:rPr>
              <w:t xml:space="preserve">usług zewnętrznych koniecznych do funkcjonowania instalacji, </w:t>
            </w:r>
            <w:proofErr w:type="spellStart"/>
            <w:r w:rsidRPr="00687093">
              <w:rPr>
                <w:rStyle w:val="A9"/>
                <w:rFonts w:ascii="Times New Roman" w:hAnsi="Times New Roman" w:cs="Times New Roman"/>
              </w:rPr>
              <w:t>np</w:t>
            </w:r>
            <w:proofErr w:type="spellEnd"/>
            <w:r w:rsidRPr="00687093">
              <w:rPr>
                <w:rFonts w:ascii="Times New Roman" w:hAnsi="Times New Roman"/>
              </w:rPr>
              <w:t>: dostaw lokalnych surowców, handlu, budowy instalacji i produkcji komponentów i ich dostaw, usług planowania i doradztwa czy badania i rozwoju. Przyjmuje się, że do obsługi jednej instalacji potrzeba średnio co najmniej 4 osób oraz znacznie więcej na tzw. rynkach powiązanych („</w:t>
            </w:r>
            <w:proofErr w:type="spellStart"/>
            <w:r w:rsidRPr="00903698">
              <w:rPr>
                <w:rFonts w:ascii="Times New Roman" w:hAnsi="Times New Roman"/>
              </w:rPr>
              <w:t>Biogas</w:t>
            </w:r>
            <w:proofErr w:type="spellEnd"/>
            <w:r w:rsidRPr="00903698">
              <w:rPr>
                <w:rFonts w:ascii="Times New Roman" w:hAnsi="Times New Roman"/>
              </w:rPr>
              <w:t xml:space="preserve"> and </w:t>
            </w:r>
            <w:proofErr w:type="spellStart"/>
            <w:r w:rsidRPr="00903698">
              <w:rPr>
                <w:rFonts w:ascii="Times New Roman" w:hAnsi="Times New Roman"/>
              </w:rPr>
              <w:t>Biomethane</w:t>
            </w:r>
            <w:proofErr w:type="spellEnd"/>
            <w:r w:rsidRPr="00903698">
              <w:rPr>
                <w:rFonts w:ascii="Times New Roman" w:hAnsi="Times New Roman"/>
              </w:rPr>
              <w:t xml:space="preserve"> in Europe: </w:t>
            </w:r>
            <w:proofErr w:type="spellStart"/>
            <w:r w:rsidRPr="00903698">
              <w:rPr>
                <w:rFonts w:ascii="Times New Roman" w:hAnsi="Times New Roman"/>
              </w:rPr>
              <w:t>Lessons</w:t>
            </w:r>
            <w:proofErr w:type="spellEnd"/>
            <w:r w:rsidRPr="00903698">
              <w:rPr>
                <w:rFonts w:ascii="Times New Roman" w:hAnsi="Times New Roman"/>
              </w:rPr>
              <w:t xml:space="preserve"> from </w:t>
            </w:r>
            <w:proofErr w:type="spellStart"/>
            <w:r w:rsidRPr="00903698">
              <w:rPr>
                <w:rFonts w:ascii="Times New Roman" w:hAnsi="Times New Roman"/>
              </w:rPr>
              <w:t>Denmark</w:t>
            </w:r>
            <w:proofErr w:type="spellEnd"/>
            <w:r w:rsidRPr="00903698">
              <w:rPr>
                <w:rFonts w:ascii="Times New Roman" w:hAnsi="Times New Roman"/>
              </w:rPr>
              <w:t xml:space="preserve">, Germany and </w:t>
            </w:r>
            <w:proofErr w:type="spellStart"/>
            <w:r w:rsidRPr="00903698">
              <w:rPr>
                <w:rFonts w:ascii="Times New Roman" w:hAnsi="Times New Roman"/>
              </w:rPr>
              <w:t>Italy</w:t>
            </w:r>
            <w:proofErr w:type="spellEnd"/>
            <w:r w:rsidRPr="00903698">
              <w:rPr>
                <w:rFonts w:ascii="Times New Roman" w:hAnsi="Times New Roman"/>
              </w:rPr>
              <w:t>, IFRI, 2019</w:t>
            </w:r>
            <w:r w:rsidRPr="00687093">
              <w:rPr>
                <w:rFonts w:ascii="Times New Roman" w:hAnsi="Times New Roman"/>
              </w:rPr>
              <w:t>”), jak również krótkoterminowo kilkakrotnie więcej na etapie realizacji rozproszonych inwestycji.</w:t>
            </w:r>
          </w:p>
          <w:p w14:paraId="2E349157" w14:textId="163D130B" w:rsidR="006D71EF" w:rsidRDefault="006D71EF" w:rsidP="006D71EF">
            <w:pPr>
              <w:spacing w:after="120" w:line="240" w:lineRule="auto"/>
              <w:jc w:val="both"/>
              <w:rPr>
                <w:rStyle w:val="A9"/>
                <w:rFonts w:ascii="Times New Roman" w:hAnsi="Times New Roman" w:cs="Times New Roman"/>
              </w:rPr>
            </w:pPr>
            <w:r w:rsidRPr="000D14B1">
              <w:rPr>
                <w:rFonts w:ascii="Times New Roman" w:hAnsi="Times New Roman"/>
                <w:color w:val="000000"/>
              </w:rPr>
              <w:t>Zarówno skala niezbędnych inwestycji oraz ich lokalny charakter wskazuje potencjał rozwoju przedsiębiorczości w tym obszarze, angażujący nie tylko lokalnych przedsiębiorców, ale również duże krajowe przedsiębiorstwa (C.H. Cegielski S.A.)</w:t>
            </w:r>
            <w:r w:rsidRPr="00687093">
              <w:rPr>
                <w:rFonts w:ascii="Times New Roman" w:hAnsi="Times New Roman"/>
                <w:color w:val="000000"/>
              </w:rPr>
              <w:t xml:space="preserve"> oraz spółki Skarbu Państwa (GK PGNiG S.A., PKN Orlen, Lotos S.A.). </w:t>
            </w:r>
          </w:p>
          <w:p w14:paraId="31B8710D" w14:textId="054ADD9F" w:rsidR="006D71EF" w:rsidRPr="000D3F79" w:rsidRDefault="006D71EF" w:rsidP="006D71EF">
            <w:pPr>
              <w:spacing w:line="240" w:lineRule="auto"/>
              <w:jc w:val="both"/>
              <w:rPr>
                <w:rStyle w:val="A9"/>
                <w:rFonts w:ascii="Times New Roman" w:hAnsi="Times New Roman" w:cs="Times New Roman"/>
                <w:b/>
                <w:bCs/>
                <w:u w:val="single"/>
              </w:rPr>
            </w:pPr>
            <w:r>
              <w:rPr>
                <w:rStyle w:val="A9"/>
                <w:rFonts w:ascii="Times New Roman" w:hAnsi="Times New Roman" w:cs="Times New Roman"/>
                <w:b/>
                <w:bCs/>
                <w:u w:val="single"/>
              </w:rPr>
              <w:t xml:space="preserve">II. </w:t>
            </w:r>
            <w:r w:rsidRPr="000D3F79">
              <w:rPr>
                <w:rStyle w:val="A9"/>
                <w:rFonts w:ascii="Times New Roman" w:hAnsi="Times New Roman" w:cs="Times New Roman"/>
                <w:b/>
                <w:bCs/>
                <w:u w:val="single"/>
              </w:rPr>
              <w:t>Klastry energii</w:t>
            </w:r>
          </w:p>
          <w:p w14:paraId="0BD5CD47" w14:textId="0CF1AA50" w:rsidR="006D71EF" w:rsidRPr="00687093" w:rsidRDefault="006D71EF" w:rsidP="004B458B">
            <w:pPr>
              <w:spacing w:after="120" w:line="240" w:lineRule="auto"/>
              <w:jc w:val="both"/>
              <w:rPr>
                <w:rFonts w:ascii="Times New Roman" w:hAnsi="Times New Roman"/>
                <w:bCs/>
              </w:rPr>
            </w:pPr>
            <w:r w:rsidRPr="004E7BA9">
              <w:rPr>
                <w:rFonts w:ascii="Times New Roman" w:hAnsi="Times New Roman"/>
                <w:bCs/>
              </w:rPr>
              <w:t>Ponadto</w:t>
            </w:r>
            <w:r w:rsidR="00CB74E3">
              <w:rPr>
                <w:rFonts w:ascii="Times New Roman" w:hAnsi="Times New Roman"/>
                <w:bCs/>
              </w:rPr>
              <w:t>,</w:t>
            </w:r>
            <w:r w:rsidRPr="004E7BA9">
              <w:rPr>
                <w:rFonts w:ascii="Times New Roman" w:hAnsi="Times New Roman"/>
                <w:bCs/>
              </w:rPr>
              <w:t xml:space="preserve"> w projekcie ustawy </w:t>
            </w:r>
            <w:r w:rsidR="00F4600F">
              <w:rPr>
                <w:rFonts w:ascii="Times New Roman" w:hAnsi="Times New Roman"/>
                <w:bCs/>
              </w:rPr>
              <w:t xml:space="preserve">zostaną zaproponowane </w:t>
            </w:r>
            <w:r w:rsidRPr="004E7BA9">
              <w:rPr>
                <w:rFonts w:ascii="Times New Roman" w:hAnsi="Times New Roman"/>
                <w:bCs/>
              </w:rPr>
              <w:t>regulacj</w:t>
            </w:r>
            <w:r w:rsidR="00DF74AB">
              <w:rPr>
                <w:rFonts w:ascii="Times New Roman" w:hAnsi="Times New Roman"/>
                <w:bCs/>
              </w:rPr>
              <w:t>e</w:t>
            </w:r>
            <w:r w:rsidR="0010694B">
              <w:rPr>
                <w:rFonts w:ascii="Times New Roman" w:hAnsi="Times New Roman"/>
                <w:bCs/>
              </w:rPr>
              <w:t xml:space="preserve"> dotyczące</w:t>
            </w:r>
            <w:r w:rsidRPr="00687093" w:rsidDel="004E7BA9">
              <w:rPr>
                <w:rFonts w:ascii="Times New Roman" w:hAnsi="Times New Roman"/>
                <w:bCs/>
              </w:rPr>
              <w:t xml:space="preserve"> </w:t>
            </w:r>
            <w:r w:rsidRPr="00687093">
              <w:rPr>
                <w:rFonts w:ascii="Times New Roman" w:hAnsi="Times New Roman"/>
                <w:bCs/>
              </w:rPr>
              <w:t xml:space="preserve">rozwoju energetyki rozproszonej na potrzeby tworzenia klastrów energii. Zmiany </w:t>
            </w:r>
            <w:r w:rsidR="00DF74AB">
              <w:rPr>
                <w:rFonts w:ascii="Times New Roman" w:hAnsi="Times New Roman"/>
                <w:bCs/>
              </w:rPr>
              <w:t xml:space="preserve">proponowane </w:t>
            </w:r>
            <w:r w:rsidRPr="00687093">
              <w:rPr>
                <w:rFonts w:ascii="Times New Roman" w:hAnsi="Times New Roman"/>
                <w:bCs/>
              </w:rPr>
              <w:t xml:space="preserve">w projekcie ustawy </w:t>
            </w:r>
            <w:r w:rsidR="00DF74AB">
              <w:rPr>
                <w:rFonts w:ascii="Times New Roman" w:hAnsi="Times New Roman"/>
                <w:bCs/>
              </w:rPr>
              <w:t xml:space="preserve">wychodzą </w:t>
            </w:r>
            <w:r w:rsidRPr="00687093">
              <w:rPr>
                <w:rFonts w:ascii="Times New Roman" w:hAnsi="Times New Roman"/>
                <w:bCs/>
              </w:rPr>
              <w:t>naprzeciw oczekiwaniom lokalnych społeczności, w tym indywidualnych oraz instytucjonalnych odbiorców oraz wytwórców paliw i energii, przedsiębiorców, w szczególności Małych i Średnich (MŚP), jednostek samorządu terytorialnego, a także wspólnot i spółdzielni mieszkaniowych - mając na celu umożliwienie szerszego niż dotychczas rozwoju klastrów energii w Polsce.</w:t>
            </w:r>
          </w:p>
          <w:p w14:paraId="2430D032" w14:textId="77777777" w:rsidR="006D71EF" w:rsidRPr="00687093" w:rsidRDefault="006D71EF" w:rsidP="006D71EF">
            <w:pPr>
              <w:spacing w:line="240" w:lineRule="auto"/>
              <w:jc w:val="both"/>
              <w:rPr>
                <w:rFonts w:ascii="Times New Roman" w:hAnsi="Times New Roman"/>
                <w:bCs/>
              </w:rPr>
            </w:pPr>
            <w:r w:rsidRPr="00687093">
              <w:rPr>
                <w:rFonts w:ascii="Times New Roman" w:hAnsi="Times New Roman"/>
                <w:bCs/>
              </w:rPr>
              <w:t>W ramach przeprowadzonych analiz zdiagnozowane zostały następujące bariery, które ograniczają możliwość oczekiwanego, dynamicznego rozwoju klastrów energii:</w:t>
            </w:r>
          </w:p>
          <w:p w14:paraId="7FAFD8DD"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wątpliwości interpretacyjne związane z definicją klastra energii;</w:t>
            </w:r>
          </w:p>
          <w:p w14:paraId="181F9A29"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nieprecyzyjne przepisy określające zakres podmiotowy i przedmiotowy działania klastra energii;</w:t>
            </w:r>
          </w:p>
          <w:p w14:paraId="0F69E4C0"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brak regulacji w zakresie rejestracji klastrów energii, wskazujący na potrzebę stworzenia rejestru;</w:t>
            </w:r>
            <w:r>
              <w:rPr>
                <w:rFonts w:ascii="Times New Roman" w:hAnsi="Times New Roman"/>
                <w:bCs/>
              </w:rPr>
              <w:t xml:space="preserve"> </w:t>
            </w:r>
          </w:p>
          <w:p w14:paraId="6C7942A9" w14:textId="77777777" w:rsidR="006D71EF" w:rsidRPr="00687093" w:rsidRDefault="006D71EF" w:rsidP="006D71EF">
            <w:pPr>
              <w:numPr>
                <w:ilvl w:val="0"/>
                <w:numId w:val="44"/>
              </w:numPr>
              <w:spacing w:line="240" w:lineRule="auto"/>
              <w:ind w:left="348" w:hanging="348"/>
              <w:jc w:val="both"/>
              <w:rPr>
                <w:rFonts w:ascii="Times New Roman" w:hAnsi="Times New Roman"/>
                <w:bCs/>
              </w:rPr>
            </w:pPr>
            <w:r w:rsidRPr="00687093">
              <w:rPr>
                <w:rFonts w:ascii="Times New Roman" w:hAnsi="Times New Roman"/>
                <w:bCs/>
              </w:rPr>
              <w:t>ograniczenia w zakresie określenia szczegółowych zasad współpracy członków klastra energii z operatorami systemów dystrybucyjnych;</w:t>
            </w:r>
          </w:p>
          <w:p w14:paraId="02FF2DFB" w14:textId="77777777" w:rsidR="006D71EF" w:rsidRPr="00687093" w:rsidRDefault="006D71EF" w:rsidP="006D71EF">
            <w:pPr>
              <w:numPr>
                <w:ilvl w:val="0"/>
                <w:numId w:val="44"/>
              </w:numPr>
              <w:spacing w:after="120" w:line="240" w:lineRule="auto"/>
              <w:ind w:left="348" w:hanging="348"/>
              <w:jc w:val="both"/>
              <w:rPr>
                <w:rFonts w:ascii="Times New Roman" w:hAnsi="Times New Roman"/>
                <w:bCs/>
              </w:rPr>
            </w:pPr>
            <w:r w:rsidRPr="00687093">
              <w:rPr>
                <w:rFonts w:ascii="Times New Roman" w:hAnsi="Times New Roman"/>
                <w:bCs/>
              </w:rPr>
              <w:t>brak mechanizmów zachęt (premiowania) dla podmiotów tworzących klaster energii oraz warunków skorzystania z</w:t>
            </w:r>
            <w:r>
              <w:rPr>
                <w:rFonts w:ascii="Times New Roman" w:hAnsi="Times New Roman"/>
                <w:bCs/>
              </w:rPr>
              <w:t> </w:t>
            </w:r>
            <w:r w:rsidRPr="00687093">
              <w:rPr>
                <w:rFonts w:ascii="Times New Roman" w:hAnsi="Times New Roman"/>
                <w:bCs/>
              </w:rPr>
              <w:t>takich preferencyjnych rozwiązań.</w:t>
            </w:r>
          </w:p>
          <w:p w14:paraId="3B769F27" w14:textId="71782FF6" w:rsidR="006A24DA" w:rsidRPr="000D3F79" w:rsidRDefault="006A24DA" w:rsidP="006A24DA">
            <w:pPr>
              <w:spacing w:line="240" w:lineRule="auto"/>
              <w:jc w:val="both"/>
              <w:rPr>
                <w:rFonts w:ascii="Times New Roman" w:hAnsi="Times New Roman"/>
                <w:b/>
                <w:u w:val="single"/>
              </w:rPr>
            </w:pPr>
            <w:r>
              <w:rPr>
                <w:rFonts w:ascii="Times New Roman" w:hAnsi="Times New Roman"/>
                <w:b/>
                <w:u w:val="single"/>
              </w:rPr>
              <w:t>III.</w:t>
            </w:r>
            <w:r w:rsidR="00831915">
              <w:rPr>
                <w:rFonts w:ascii="Times New Roman" w:hAnsi="Times New Roman"/>
                <w:b/>
                <w:u w:val="single"/>
              </w:rPr>
              <w:t>1.</w:t>
            </w:r>
            <w:r>
              <w:rPr>
                <w:rFonts w:ascii="Times New Roman" w:hAnsi="Times New Roman"/>
                <w:b/>
                <w:u w:val="single"/>
              </w:rPr>
              <w:t xml:space="preserve"> </w:t>
            </w:r>
            <w:r w:rsidRPr="000D3F79">
              <w:rPr>
                <w:rFonts w:ascii="Times New Roman" w:hAnsi="Times New Roman"/>
                <w:b/>
                <w:u w:val="single"/>
              </w:rPr>
              <w:t>Zwiększenie roli OZE w ciepłownictwie i chłodnictwie</w:t>
            </w:r>
          </w:p>
          <w:p w14:paraId="50C46B6A" w14:textId="77777777" w:rsidR="006A24DA" w:rsidRPr="004B458B" w:rsidRDefault="006A24DA" w:rsidP="006A24DA">
            <w:pPr>
              <w:spacing w:line="240" w:lineRule="auto"/>
              <w:jc w:val="both"/>
              <w:rPr>
                <w:rFonts w:ascii="Times New Roman" w:hAnsi="Times New Roman"/>
                <w:b/>
              </w:rPr>
            </w:pPr>
            <w:r w:rsidRPr="004B458B">
              <w:rPr>
                <w:rFonts w:ascii="Times New Roman" w:hAnsi="Times New Roman"/>
                <w:b/>
              </w:rPr>
              <w:t>Założenia związane z implementacją RED II</w:t>
            </w:r>
          </w:p>
          <w:p w14:paraId="1A59AFF4" w14:textId="7E2C6825" w:rsidR="006A24DA" w:rsidRPr="00BB60A9" w:rsidRDefault="006A24DA" w:rsidP="006A24DA">
            <w:pPr>
              <w:spacing w:line="240" w:lineRule="auto"/>
              <w:jc w:val="both"/>
              <w:rPr>
                <w:rFonts w:ascii="Times New Roman" w:hAnsi="Times New Roman"/>
              </w:rPr>
            </w:pPr>
            <w:r w:rsidRPr="00BB60A9">
              <w:rPr>
                <w:rFonts w:ascii="Times New Roman" w:hAnsi="Times New Roman"/>
              </w:rPr>
              <w:t xml:space="preserve">W prawie krajowym brak jest rozwiązań w pełni umożliwiających prawidłową i skuteczną implementację dyrektywy </w:t>
            </w:r>
            <w:r>
              <w:rPr>
                <w:rFonts w:ascii="Times New Roman" w:hAnsi="Times New Roman"/>
              </w:rPr>
              <w:t xml:space="preserve">2018/2001 </w:t>
            </w:r>
            <w:r w:rsidRPr="00BB60A9">
              <w:rPr>
                <w:rFonts w:ascii="Times New Roman" w:hAnsi="Times New Roman"/>
              </w:rPr>
              <w:t>w</w:t>
            </w:r>
            <w:r>
              <w:rPr>
                <w:rFonts w:ascii="Times New Roman" w:hAnsi="Times New Roman"/>
              </w:rPr>
              <w:t xml:space="preserve"> odniesieniu do regulacji dotyczących ciepłownictwa systemowego w</w:t>
            </w:r>
            <w:r w:rsidRPr="00BB60A9">
              <w:rPr>
                <w:rFonts w:ascii="Times New Roman" w:hAnsi="Times New Roman"/>
              </w:rPr>
              <w:t xml:space="preserve"> następującym zakresie:</w:t>
            </w:r>
          </w:p>
          <w:p w14:paraId="7DBFF370" w14:textId="707A1920"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 xml:space="preserve">funkcjonowania mechanizmów pozwalających na realizację wyznaczonego </w:t>
            </w:r>
            <w:r w:rsidR="009E30A2">
              <w:rPr>
                <w:rFonts w:ascii="Times New Roman" w:hAnsi="Times New Roman"/>
              </w:rPr>
              <w:t>w</w:t>
            </w:r>
            <w:r w:rsidR="009E30A2" w:rsidRPr="00BB60A9">
              <w:rPr>
                <w:rFonts w:ascii="Times New Roman" w:hAnsi="Times New Roman"/>
              </w:rPr>
              <w:t xml:space="preserve"> </w:t>
            </w:r>
            <w:r w:rsidRPr="00BB60A9">
              <w:rPr>
                <w:rFonts w:ascii="Times New Roman" w:hAnsi="Times New Roman"/>
              </w:rPr>
              <w:t>art. 23 ust. 1 dyrektywy 2018/2001 celu w postaci zwiększenia udziału energii odnawialnej w sektorze ogrzewania i chłodzenia;</w:t>
            </w:r>
          </w:p>
          <w:p w14:paraId="47EAFAAF" w14:textId="77777777" w:rsidR="006A24DA" w:rsidRPr="00BB60A9" w:rsidRDefault="006A24DA" w:rsidP="006A24DA">
            <w:pPr>
              <w:numPr>
                <w:ilvl w:val="0"/>
                <w:numId w:val="134"/>
              </w:numPr>
              <w:spacing w:line="240" w:lineRule="auto"/>
              <w:ind w:left="714" w:hanging="357"/>
              <w:jc w:val="both"/>
              <w:rPr>
                <w:rFonts w:ascii="Times New Roman" w:hAnsi="Times New Roman"/>
              </w:rPr>
            </w:pPr>
            <w:r w:rsidRPr="00BB60A9">
              <w:rPr>
                <w:rFonts w:ascii="Times New Roman" w:hAnsi="Times New Roman"/>
              </w:rPr>
              <w:t>możliwości odłączenia się odbiorcy końcowego od systemu ciepłowniczego (art. 24 ust. 2, ust. 3 oraz ust. 7 dyrektywy 2018/2001);</w:t>
            </w:r>
          </w:p>
          <w:p w14:paraId="1C9FF41A" w14:textId="2A2EE555" w:rsidR="006A24DA" w:rsidRPr="00BB60A9" w:rsidRDefault="006A24DA" w:rsidP="006A24DA">
            <w:pPr>
              <w:numPr>
                <w:ilvl w:val="0"/>
                <w:numId w:val="134"/>
              </w:numPr>
              <w:spacing w:line="240" w:lineRule="auto"/>
              <w:ind w:left="714" w:hanging="357"/>
              <w:jc w:val="both"/>
              <w:rPr>
                <w:rFonts w:ascii="Times New Roman" w:hAnsi="Times New Roman"/>
              </w:rPr>
            </w:pPr>
            <w:r w:rsidRPr="00BB60A9">
              <w:rPr>
                <w:rFonts w:ascii="Times New Roman" w:hAnsi="Times New Roman"/>
              </w:rPr>
              <w:t>obowiązku przyłączenia instalacji odnawialnego źródła energii oraz obowiązku zakupu ciepła z OZE (art. 24 ust. 4 lit. b, ust. 5 i ust. 6 dyrektywy 2018/2001);</w:t>
            </w:r>
          </w:p>
          <w:p w14:paraId="3F644BD5"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informowania odbiorców końcowych o efektywności energetycznej systemu ciepłowniczego oraz udziale energii odnawialnej w danym systemie ciepłowniczym (art. 24 ust. dyrektywy 2018/2001);</w:t>
            </w:r>
          </w:p>
          <w:p w14:paraId="05BE01AD"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określenia potencjału systemów ciepłowniczych pod względem zapewnienia usługi bilansującej i innych usług systemowych (art. 24 ust. 8 dyrektywy 2018/2001);</w:t>
            </w:r>
          </w:p>
          <w:p w14:paraId="6552EE69"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możliwości publikowania wykazu środków/podmiotów zobowiązanych realizujących cel, o którym mowa w art. 23 ust. 1 dyrektywy 2018/2001 (art. 23 ust. 3 i 6, załącznik VII dyrektywy 2018/2001);</w:t>
            </w:r>
          </w:p>
          <w:p w14:paraId="39912490" w14:textId="77777777" w:rsidR="006A24DA" w:rsidRPr="00BB60A9" w:rsidRDefault="006A24DA" w:rsidP="006A24DA">
            <w:pPr>
              <w:numPr>
                <w:ilvl w:val="0"/>
                <w:numId w:val="134"/>
              </w:numPr>
              <w:spacing w:line="240" w:lineRule="auto"/>
              <w:jc w:val="both"/>
              <w:rPr>
                <w:rFonts w:ascii="Times New Roman" w:hAnsi="Times New Roman"/>
              </w:rPr>
            </w:pPr>
            <w:r w:rsidRPr="00BB60A9">
              <w:rPr>
                <w:rFonts w:ascii="Times New Roman" w:hAnsi="Times New Roman"/>
              </w:rPr>
              <w:t>obowiązku wprowadzenia systemu gwarancji pochodzenia ciepła z OZE (art. 19 dyrektywy 2018/2001);</w:t>
            </w:r>
          </w:p>
          <w:p w14:paraId="103469CE" w14:textId="1722C58E" w:rsidR="006A24DA" w:rsidRPr="00BB60A9" w:rsidRDefault="006A24DA" w:rsidP="004B458B">
            <w:pPr>
              <w:numPr>
                <w:ilvl w:val="0"/>
                <w:numId w:val="134"/>
              </w:numPr>
              <w:spacing w:after="120" w:line="240" w:lineRule="auto"/>
              <w:jc w:val="both"/>
              <w:rPr>
                <w:rFonts w:ascii="Times New Roman" w:hAnsi="Times New Roman"/>
              </w:rPr>
            </w:pPr>
            <w:r w:rsidRPr="00BB60A9">
              <w:rPr>
                <w:rFonts w:ascii="Times New Roman" w:hAnsi="Times New Roman"/>
              </w:rPr>
              <w:t>definicji ciepła odpadowego (art. 2 dyrektywy 2018/2001).</w:t>
            </w:r>
          </w:p>
          <w:p w14:paraId="45CBADDF" w14:textId="5643E6FF" w:rsidR="006A24DA" w:rsidRPr="00BB60A9" w:rsidRDefault="006A24DA" w:rsidP="006A24DA">
            <w:pPr>
              <w:spacing w:after="120" w:line="240" w:lineRule="auto"/>
              <w:jc w:val="both"/>
              <w:rPr>
                <w:rFonts w:ascii="Times New Roman" w:hAnsi="Times New Roman"/>
              </w:rPr>
            </w:pPr>
            <w:r w:rsidRPr="00BB60A9">
              <w:rPr>
                <w:rFonts w:ascii="Times New Roman" w:hAnsi="Times New Roman"/>
              </w:rPr>
              <w:t>Brak wprowadzenia przepisów</w:t>
            </w:r>
            <w:r w:rsidR="009E30A2">
              <w:rPr>
                <w:rFonts w:ascii="Times New Roman" w:hAnsi="Times New Roman"/>
              </w:rPr>
              <w:t xml:space="preserve"> regulujących ww. kwestie</w:t>
            </w:r>
            <w:r w:rsidRPr="00BB60A9">
              <w:rPr>
                <w:rFonts w:ascii="Times New Roman" w:hAnsi="Times New Roman"/>
              </w:rPr>
              <w:t xml:space="preserve"> skutkować będzie brakiem implementacji dyrektywy 2018/2001</w:t>
            </w:r>
            <w:r w:rsidR="009E30A2">
              <w:rPr>
                <w:rFonts w:ascii="Times New Roman" w:hAnsi="Times New Roman"/>
              </w:rPr>
              <w:t xml:space="preserve"> w tym zakresie</w:t>
            </w:r>
            <w:r w:rsidRPr="00BB60A9">
              <w:rPr>
                <w:rFonts w:ascii="Times New Roman" w:hAnsi="Times New Roman"/>
              </w:rPr>
              <w:t>.</w:t>
            </w:r>
          </w:p>
          <w:p w14:paraId="31DA1A08" w14:textId="06019FD4" w:rsidR="006A24DA" w:rsidRDefault="006A24DA" w:rsidP="006A24DA">
            <w:pPr>
              <w:spacing w:after="120" w:line="240" w:lineRule="auto"/>
              <w:jc w:val="both"/>
              <w:rPr>
                <w:rFonts w:ascii="Times New Roman" w:hAnsi="Times New Roman"/>
              </w:rPr>
            </w:pPr>
            <w:r w:rsidRPr="003B79BA">
              <w:rPr>
                <w:rFonts w:ascii="Times New Roman" w:hAnsi="Times New Roman"/>
              </w:rPr>
              <w:t xml:space="preserve">Dotychczasowe regulacje krajowe dotyczące sektora ogrzewania są dalece niewystarczające w kontekście wymogów wprowadzanych przez wyżej wskazane przepisy dyrektywy 2018/2001. Potrzeba doprecyzowania zasad funkcjonowania ciepłownictwa systemowego wynika także z istniejących luk prawnych skutkujących nieefektywnym energetycznie i ekonomicznie wykorzystaniem potencjału tego sektora krajowej energetyki. Mechanizmy rynkowe w niewystarczającym stopniu stymulują budowę instalacji wytwarzających ciepło z odnawialnych źródeł energii, co w ostatecznym rozrachunku </w:t>
            </w:r>
            <w:r w:rsidRPr="003B79BA">
              <w:rPr>
                <w:rFonts w:ascii="Times New Roman" w:hAnsi="Times New Roman"/>
              </w:rPr>
              <w:lastRenderedPageBreak/>
              <w:t xml:space="preserve">przyczynia się do zwiększenia kosztów transformacji energetycznej krajowej gospodarki oraz grozi niewykonaniem przez </w:t>
            </w:r>
            <w:r w:rsidR="009E30A2" w:rsidRPr="003B79BA">
              <w:rPr>
                <w:rFonts w:ascii="Times New Roman" w:hAnsi="Times New Roman"/>
              </w:rPr>
              <w:t>Polsk</w:t>
            </w:r>
            <w:r w:rsidR="009E30A2">
              <w:rPr>
                <w:rFonts w:ascii="Times New Roman" w:hAnsi="Times New Roman"/>
              </w:rPr>
              <w:t>ę</w:t>
            </w:r>
            <w:r w:rsidR="009E30A2" w:rsidRPr="003B79BA">
              <w:rPr>
                <w:rFonts w:ascii="Times New Roman" w:hAnsi="Times New Roman"/>
              </w:rPr>
              <w:t xml:space="preserve"> </w:t>
            </w:r>
            <w:r w:rsidRPr="003B79BA">
              <w:rPr>
                <w:rFonts w:ascii="Times New Roman" w:hAnsi="Times New Roman"/>
              </w:rPr>
              <w:t>celów w zakresie udziału energii z OZE określonych w dyrektywie 2018/2001</w:t>
            </w:r>
            <w:r>
              <w:rPr>
                <w:rFonts w:ascii="Times New Roman" w:hAnsi="Times New Roman"/>
              </w:rPr>
              <w:t>.</w:t>
            </w:r>
          </w:p>
          <w:p w14:paraId="17256C77" w14:textId="21F8EAF2" w:rsidR="006A24DA" w:rsidRDefault="006A24DA" w:rsidP="006A24DA">
            <w:pPr>
              <w:spacing w:after="120" w:line="240" w:lineRule="auto"/>
              <w:jc w:val="both"/>
              <w:rPr>
                <w:rFonts w:ascii="Times New Roman" w:hAnsi="Times New Roman"/>
              </w:rPr>
            </w:pPr>
            <w:r>
              <w:rPr>
                <w:rFonts w:ascii="Times New Roman" w:hAnsi="Times New Roman"/>
              </w:rPr>
              <w:t xml:space="preserve">Art. 23 dyrektywy określa, iż </w:t>
            </w:r>
            <w:r w:rsidRPr="00236D4A">
              <w:rPr>
                <w:rFonts w:ascii="Times New Roman" w:hAnsi="Times New Roman"/>
              </w:rPr>
              <w:t xml:space="preserve">każde państwo członkowskie dąży do zwiększenia udziału energii odnawialnej w sektorze </w:t>
            </w:r>
            <w:r>
              <w:rPr>
                <w:rFonts w:ascii="Times New Roman" w:hAnsi="Times New Roman"/>
              </w:rPr>
              <w:t xml:space="preserve">ogrzewania i chłodzenia </w:t>
            </w:r>
            <w:r w:rsidRPr="00236D4A">
              <w:rPr>
                <w:rFonts w:ascii="Times New Roman" w:hAnsi="Times New Roman"/>
              </w:rPr>
              <w:t>orientacyjnie o 1,3 punktu procentowego jako roczna średnia wyliczona dla okresów 2021–2025 i 2026–2030, zaczynając od udziału energii odnawialnej w sektorze ogrzewania i chłodzenia osiągniętego w 2020 r. W</w:t>
            </w:r>
            <w:r w:rsidR="009E30A2">
              <w:rPr>
                <w:rFonts w:ascii="Times New Roman" w:hAnsi="Times New Roman"/>
              </w:rPr>
              <w:t> </w:t>
            </w:r>
            <w:r w:rsidRPr="00236D4A">
              <w:rPr>
                <w:rFonts w:ascii="Times New Roman" w:hAnsi="Times New Roman"/>
              </w:rPr>
              <w:t>przypadku państw członkowskich, w których nie wykorzystuje się ciepła odpadowego i chłodu odpadowego,</w:t>
            </w:r>
            <w:r w:rsidR="00266B11">
              <w:rPr>
                <w:rFonts w:ascii="Times New Roman" w:hAnsi="Times New Roman"/>
              </w:rPr>
              <w:t xml:space="preserve"> </w:t>
            </w:r>
            <w:r w:rsidRPr="00236D4A">
              <w:rPr>
                <w:rFonts w:ascii="Times New Roman" w:hAnsi="Times New Roman"/>
              </w:rPr>
              <w:t xml:space="preserve">zwiększenie udziału ograniczone jest do 1,1 punktu procentowego. </w:t>
            </w:r>
          </w:p>
          <w:p w14:paraId="613C2684" w14:textId="2067131B" w:rsidR="006A24DA" w:rsidRDefault="006A24DA" w:rsidP="006A24DA">
            <w:pPr>
              <w:spacing w:after="120" w:line="240" w:lineRule="auto"/>
              <w:jc w:val="both"/>
              <w:rPr>
                <w:rFonts w:ascii="Times New Roman" w:hAnsi="Times New Roman"/>
              </w:rPr>
            </w:pPr>
            <w:r>
              <w:rPr>
                <w:rFonts w:ascii="Times New Roman" w:hAnsi="Times New Roman"/>
              </w:rPr>
              <w:t>Dodatkowo</w:t>
            </w:r>
            <w:r w:rsidR="009E30A2">
              <w:rPr>
                <w:rFonts w:ascii="Times New Roman" w:hAnsi="Times New Roman"/>
              </w:rPr>
              <w:t>,</w:t>
            </w:r>
            <w:r>
              <w:rPr>
                <w:rFonts w:ascii="Times New Roman" w:hAnsi="Times New Roman"/>
              </w:rPr>
              <w:t xml:space="preserve"> wprowadzone rozwiązania będą miały wpływ na rozwiązanie (zmniejszenie) poniżej wskazanych problemów.</w:t>
            </w:r>
          </w:p>
          <w:p w14:paraId="5B9E7BDB" w14:textId="5A0CEE91" w:rsidR="006A24DA" w:rsidRPr="004B458B" w:rsidRDefault="006A24DA" w:rsidP="006A24DA">
            <w:pPr>
              <w:spacing w:line="240" w:lineRule="auto"/>
              <w:jc w:val="both"/>
              <w:rPr>
                <w:rFonts w:ascii="Times New Roman" w:hAnsi="Times New Roman"/>
                <w:b/>
                <w:bCs/>
              </w:rPr>
            </w:pPr>
            <w:r w:rsidRPr="004B458B">
              <w:rPr>
                <w:rFonts w:ascii="Times New Roman" w:hAnsi="Times New Roman"/>
                <w:b/>
                <w:bCs/>
              </w:rPr>
              <w:t>Problem niskiej jakości powietrza</w:t>
            </w:r>
          </w:p>
          <w:p w14:paraId="6A025B98" w14:textId="27B88783" w:rsidR="006A24DA" w:rsidRPr="00311C8B" w:rsidRDefault="006A24DA" w:rsidP="006A24DA">
            <w:pPr>
              <w:spacing w:after="120" w:line="240" w:lineRule="auto"/>
              <w:jc w:val="both"/>
              <w:rPr>
                <w:rFonts w:ascii="Times New Roman" w:hAnsi="Times New Roman"/>
              </w:rPr>
            </w:pPr>
            <w:r w:rsidRPr="00311C8B">
              <w:rPr>
                <w:rFonts w:ascii="Times New Roman" w:hAnsi="Times New Roman"/>
              </w:rPr>
              <w:t xml:space="preserve">Jednym z poważniejszych problemów społecznych naszego kraju jest niska jakość powietrza. O ile w dużych aglomeracjach za złą jakość powietrza odpowiadają przede wszystkim emisje spalin ze starych samochodów z silnikiem diesla, to w mniejszych miejscowościach głównym </w:t>
            </w:r>
            <w:r w:rsidR="009E30A2">
              <w:rPr>
                <w:rFonts w:ascii="Times New Roman" w:hAnsi="Times New Roman"/>
              </w:rPr>
              <w:t>jej</w:t>
            </w:r>
            <w:r w:rsidR="009E30A2" w:rsidRPr="00311C8B">
              <w:rPr>
                <w:rFonts w:ascii="Times New Roman" w:hAnsi="Times New Roman"/>
              </w:rPr>
              <w:t xml:space="preserve"> </w:t>
            </w:r>
            <w:r w:rsidRPr="00311C8B">
              <w:rPr>
                <w:rFonts w:ascii="Times New Roman" w:hAnsi="Times New Roman"/>
              </w:rPr>
              <w:t>powodem są domowe piece zasilane paliwem złej jakości. Doświadczenia samorządów pokazują, że nawet najlepsze zachęty do wymiany kotłów na gazowe i inne są bezskuteczne, ponieważ „</w:t>
            </w:r>
            <w:proofErr w:type="spellStart"/>
            <w:r w:rsidRPr="00311C8B">
              <w:rPr>
                <w:rFonts w:ascii="Times New Roman" w:hAnsi="Times New Roman"/>
              </w:rPr>
              <w:t>nieekologiczne</w:t>
            </w:r>
            <w:proofErr w:type="spellEnd"/>
            <w:r w:rsidRPr="00311C8B">
              <w:rPr>
                <w:rFonts w:ascii="Times New Roman" w:hAnsi="Times New Roman"/>
              </w:rPr>
              <w:t xml:space="preserve">” postawy obywateli (jak np. spalanie odpadów albo spalanie paliw niskiej jakości) wynikają z ubóstwa. Dlatego systemowa walka z problemem smogu musi być ściśle skorelowana z wysiłkami władz na rzecz zapewnienia obywatelom </w:t>
            </w:r>
            <w:r w:rsidR="009E30A2">
              <w:rPr>
                <w:rFonts w:ascii="Times New Roman" w:hAnsi="Times New Roman"/>
              </w:rPr>
              <w:t>b</w:t>
            </w:r>
            <w:r w:rsidR="009E30A2" w:rsidRPr="00311C8B">
              <w:rPr>
                <w:rFonts w:ascii="Times New Roman" w:hAnsi="Times New Roman"/>
              </w:rPr>
              <w:t xml:space="preserve">ezpieczeństwa </w:t>
            </w:r>
            <w:r w:rsidRPr="00311C8B">
              <w:rPr>
                <w:rFonts w:ascii="Times New Roman" w:hAnsi="Times New Roman"/>
              </w:rPr>
              <w:t xml:space="preserve">socjalnego, energetycznego i wreszcie zdrowotnego: wyższej jakości życia w czystym powietrzu. Odczuwalna poprawa jakości powietrza doprowadzi do wymiernych skutków w postaci zmniejszenia obciążeń służby zdrowia, które są powodowane chorobami układu krążenia oraz oddechowego milionów Polaków. </w:t>
            </w:r>
          </w:p>
          <w:p w14:paraId="04A8E0D5" w14:textId="2BC82065" w:rsidR="006A24DA" w:rsidRDefault="009E30A2" w:rsidP="006A24DA">
            <w:pPr>
              <w:spacing w:after="120" w:line="240" w:lineRule="auto"/>
              <w:jc w:val="both"/>
              <w:rPr>
                <w:rFonts w:ascii="Times New Roman" w:hAnsi="Times New Roman"/>
              </w:rPr>
            </w:pPr>
            <w:r>
              <w:rPr>
                <w:rFonts w:ascii="Times New Roman" w:hAnsi="Times New Roman"/>
              </w:rPr>
              <w:t>W</w:t>
            </w:r>
            <w:r w:rsidRPr="00311C8B">
              <w:rPr>
                <w:rFonts w:ascii="Times New Roman" w:hAnsi="Times New Roman"/>
              </w:rPr>
              <w:t>skazane</w:t>
            </w:r>
            <w:r>
              <w:rPr>
                <w:rFonts w:ascii="Times New Roman" w:hAnsi="Times New Roman"/>
              </w:rPr>
              <w:t xml:space="preserve"> powyżej</w:t>
            </w:r>
            <w:r w:rsidRPr="00311C8B">
              <w:rPr>
                <w:rFonts w:ascii="Times New Roman" w:hAnsi="Times New Roman"/>
              </w:rPr>
              <w:t xml:space="preserve"> </w:t>
            </w:r>
            <w:r w:rsidR="006A24DA" w:rsidRPr="00311C8B">
              <w:rPr>
                <w:rFonts w:ascii="Times New Roman" w:hAnsi="Times New Roman"/>
              </w:rPr>
              <w:t xml:space="preserve">problemy można rozwiązać poprzez rozwój ciepłownictwa sieciowego zasilanego ciepłem wytwarzanym w </w:t>
            </w:r>
            <w:r w:rsidR="006A24DA">
              <w:rPr>
                <w:rFonts w:ascii="Times New Roman" w:hAnsi="Times New Roman"/>
              </w:rPr>
              <w:t>odnawialnych źródłach energii.</w:t>
            </w:r>
          </w:p>
          <w:p w14:paraId="5DC5F33D" w14:textId="77777777" w:rsidR="006A24DA" w:rsidRPr="00266B11" w:rsidRDefault="006A24DA" w:rsidP="006A24DA">
            <w:pPr>
              <w:spacing w:line="240" w:lineRule="auto"/>
              <w:jc w:val="both"/>
              <w:rPr>
                <w:rFonts w:ascii="Times New Roman" w:hAnsi="Times New Roman"/>
                <w:b/>
                <w:bCs/>
                <w:iCs/>
              </w:rPr>
            </w:pPr>
            <w:r w:rsidRPr="00266B11">
              <w:rPr>
                <w:rFonts w:ascii="Times New Roman" w:hAnsi="Times New Roman"/>
                <w:b/>
                <w:bCs/>
                <w:iCs/>
              </w:rPr>
              <w:t>Nieefektywne energetycznie systemy ciepłownicze lub chłodnicze</w:t>
            </w:r>
          </w:p>
          <w:p w14:paraId="0E115D48" w14:textId="44BD11CE" w:rsidR="006A24DA" w:rsidRPr="001A1943" w:rsidRDefault="006A24DA" w:rsidP="006A24DA">
            <w:pPr>
              <w:spacing w:line="240" w:lineRule="auto"/>
              <w:jc w:val="both"/>
              <w:rPr>
                <w:rFonts w:ascii="Times New Roman" w:hAnsi="Times New Roman"/>
              </w:rPr>
            </w:pPr>
            <w:r w:rsidRPr="001A1943">
              <w:rPr>
                <w:rFonts w:ascii="Times New Roman" w:hAnsi="Times New Roman"/>
              </w:rPr>
              <w:t xml:space="preserve">Zgodnie z art. 7b ust. 4 ustawy </w:t>
            </w:r>
            <w:r w:rsidR="00593366">
              <w:rPr>
                <w:rFonts w:ascii="Times New Roman" w:hAnsi="Times New Roman"/>
              </w:rPr>
              <w:t>z dnia 10 kwietnia 1997 r.</w:t>
            </w:r>
            <w:r w:rsidRPr="001A1943">
              <w:rPr>
                <w:rFonts w:ascii="Times New Roman" w:hAnsi="Times New Roman"/>
              </w:rPr>
              <w:t>– Prawo energetyczne</w:t>
            </w:r>
            <w:r w:rsidR="00593366">
              <w:rPr>
                <w:rFonts w:ascii="Times New Roman" w:hAnsi="Times New Roman"/>
              </w:rPr>
              <w:t xml:space="preserve"> (dalej „ustawa – Prawo energetyczne”)</w:t>
            </w:r>
            <w:r w:rsidRPr="001A1943">
              <w:rPr>
                <w:rFonts w:ascii="Times New Roman" w:hAnsi="Times New Roman"/>
              </w:rPr>
              <w:t xml:space="preserve"> przez efektywny energetycznie system ciepłowniczy lub chłodniczy rozumie się system ciepłowniczy lub chłodniczy, w którym do wytwarzania ciepła lub chłodu wykorzystuje się co najmniej w:</w:t>
            </w:r>
          </w:p>
          <w:p w14:paraId="4B3438C5"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1) 50% energię z odnawialnych źródeł energii lub</w:t>
            </w:r>
          </w:p>
          <w:p w14:paraId="2D72BE73"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2) 50% ciepło odpadowe, lub</w:t>
            </w:r>
          </w:p>
          <w:p w14:paraId="2601164C" w14:textId="77777777" w:rsidR="006A24DA" w:rsidRPr="001A1943" w:rsidRDefault="006A24DA" w:rsidP="006A24DA">
            <w:pPr>
              <w:spacing w:line="240" w:lineRule="auto"/>
              <w:jc w:val="both"/>
              <w:rPr>
                <w:rFonts w:ascii="Times New Roman" w:hAnsi="Times New Roman"/>
              </w:rPr>
            </w:pPr>
            <w:r w:rsidRPr="001A1943">
              <w:rPr>
                <w:rFonts w:ascii="Times New Roman" w:hAnsi="Times New Roman"/>
              </w:rPr>
              <w:t>3) 75% ciepło pochodzące z kogeneracji, lub</w:t>
            </w:r>
          </w:p>
          <w:p w14:paraId="12C13741" w14:textId="77777777" w:rsidR="006A24DA" w:rsidRDefault="006A24DA" w:rsidP="004B458B">
            <w:pPr>
              <w:spacing w:after="120" w:line="240" w:lineRule="auto"/>
              <w:jc w:val="both"/>
              <w:rPr>
                <w:rFonts w:ascii="Times New Roman" w:hAnsi="Times New Roman"/>
              </w:rPr>
            </w:pPr>
            <w:r w:rsidRPr="001A1943">
              <w:rPr>
                <w:rFonts w:ascii="Times New Roman" w:hAnsi="Times New Roman"/>
              </w:rPr>
              <w:t>4) 50% połączenie energii i ciepła, o których mowa w pkt 1–3.</w:t>
            </w:r>
          </w:p>
          <w:p w14:paraId="4744F6AF" w14:textId="7012A741" w:rsidR="00B0620D" w:rsidRPr="001A1943" w:rsidRDefault="00B0620D" w:rsidP="004B458B">
            <w:pPr>
              <w:spacing w:after="120" w:line="240" w:lineRule="auto"/>
              <w:jc w:val="both"/>
              <w:rPr>
                <w:rFonts w:ascii="Times New Roman" w:hAnsi="Times New Roman"/>
              </w:rPr>
            </w:pPr>
            <w:r w:rsidRPr="00B0620D">
              <w:rPr>
                <w:rFonts w:ascii="Times New Roman" w:hAnsi="Times New Roman"/>
              </w:rPr>
              <w:t>Zmiana ustawy – Prawo energetyczne daje impulsy do konwersji systemów ciepłowniczych w efektywne energetycznie systemy ciepłownicze.</w:t>
            </w:r>
          </w:p>
          <w:p w14:paraId="23269242" w14:textId="50FBA152" w:rsidR="006A24DA" w:rsidRDefault="006A24DA" w:rsidP="004B458B">
            <w:pPr>
              <w:spacing w:after="120" w:line="240" w:lineRule="auto"/>
              <w:jc w:val="both"/>
              <w:rPr>
                <w:rFonts w:ascii="Times New Roman" w:hAnsi="Times New Roman"/>
              </w:rPr>
            </w:pPr>
            <w:r w:rsidRPr="00BD69BC">
              <w:rPr>
                <w:rFonts w:ascii="Times New Roman" w:hAnsi="Times New Roman"/>
              </w:rPr>
              <w:t xml:space="preserve">Zgodnie z </w:t>
            </w:r>
            <w:r w:rsidR="00593366">
              <w:rPr>
                <w:rFonts w:ascii="Times New Roman" w:hAnsi="Times New Roman"/>
              </w:rPr>
              <w:t xml:space="preserve">rozporządzeniem </w:t>
            </w:r>
            <w:r>
              <w:rPr>
                <w:rFonts w:ascii="Times New Roman" w:hAnsi="Times New Roman"/>
              </w:rPr>
              <w:t>Parlamentu Europejskiego i Rady</w:t>
            </w:r>
            <w:r w:rsidRPr="00BD69BC">
              <w:rPr>
                <w:rFonts w:ascii="Times New Roman" w:hAnsi="Times New Roman"/>
              </w:rPr>
              <w:t xml:space="preserve"> (UE) 2018/842 z dnia 30 maja 2018 r. w sprawie wiążących rocznych redukcji emisji gazów cieplarnianych przez państwa członkowskie od 2021 r. do 2030 r. przyczyniających się do działań na rzecz klimatu w celu wywiązania się z zobowiązań wynikających z Porozumienia paryskiego oraz zmieniające rozporządzenie (UE) nr 525/2013 Polska jest zobowiązana do redukcji emisji gazów cieplarnianych z sektorów non-ETS do 2030 r. o 7% względem poziomu w 2005 r.</w:t>
            </w:r>
          </w:p>
          <w:p w14:paraId="4B2D3741" w14:textId="28C1B3D8" w:rsidR="006A24DA" w:rsidRDefault="006A24DA" w:rsidP="0003657C">
            <w:pPr>
              <w:spacing w:after="120" w:line="240" w:lineRule="auto"/>
              <w:jc w:val="both"/>
              <w:rPr>
                <w:rFonts w:ascii="Times New Roman" w:hAnsi="Times New Roman"/>
              </w:rPr>
            </w:pPr>
            <w:r>
              <w:rPr>
                <w:rFonts w:ascii="Times New Roman" w:hAnsi="Times New Roman"/>
              </w:rPr>
              <w:t>Zaproponowane w projekcie</w:t>
            </w:r>
            <w:r w:rsidR="00593366">
              <w:rPr>
                <w:rFonts w:ascii="Times New Roman" w:hAnsi="Times New Roman"/>
              </w:rPr>
              <w:t xml:space="preserve"> ustawy </w:t>
            </w:r>
            <w:r w:rsidR="00593366" w:rsidRPr="00593366">
              <w:rPr>
                <w:rFonts w:ascii="Times New Roman" w:hAnsi="Times New Roman"/>
              </w:rPr>
              <w:t>rozwiązania</w:t>
            </w:r>
            <w:r>
              <w:rPr>
                <w:rFonts w:ascii="Times New Roman" w:hAnsi="Times New Roman"/>
              </w:rPr>
              <w:t xml:space="preserve"> będą mogły wesprzeć te źródła przy realizowaniu planów inwestycyjnych.</w:t>
            </w:r>
          </w:p>
          <w:p w14:paraId="4C2C9354" w14:textId="7C236B5A" w:rsidR="000F1F61" w:rsidRPr="000D3F79" w:rsidRDefault="000F1F61" w:rsidP="000F1F61">
            <w:pPr>
              <w:spacing w:line="240" w:lineRule="auto"/>
              <w:jc w:val="both"/>
              <w:rPr>
                <w:rFonts w:ascii="Times New Roman" w:hAnsi="Times New Roman"/>
                <w:b/>
                <w:u w:val="single"/>
              </w:rPr>
            </w:pPr>
            <w:r>
              <w:rPr>
                <w:rFonts w:ascii="Times New Roman" w:hAnsi="Times New Roman"/>
                <w:b/>
                <w:u w:val="single"/>
              </w:rPr>
              <w:t xml:space="preserve">III.2 </w:t>
            </w:r>
            <w:r w:rsidRPr="000D3F79">
              <w:rPr>
                <w:rFonts w:ascii="Times New Roman" w:hAnsi="Times New Roman"/>
                <w:b/>
                <w:u w:val="single"/>
              </w:rPr>
              <w:t>Rozszerzenie stosowania gwarancji pochodzenia</w:t>
            </w:r>
          </w:p>
          <w:p w14:paraId="651CE8E3" w14:textId="55CB419D" w:rsidR="000F1F61" w:rsidRDefault="000F1F61" w:rsidP="000F1F61">
            <w:pPr>
              <w:spacing w:after="120" w:line="240" w:lineRule="auto"/>
              <w:jc w:val="both"/>
              <w:rPr>
                <w:rFonts w:ascii="Times New Roman" w:hAnsi="Times New Roman"/>
                <w:bCs/>
              </w:rPr>
            </w:pPr>
            <w:r>
              <w:rPr>
                <w:rFonts w:ascii="Times New Roman" w:hAnsi="Times New Roman"/>
                <w:bCs/>
              </w:rPr>
              <w:t xml:space="preserve">Gwarancja pochodzenia </w:t>
            </w:r>
            <w:r w:rsidRPr="000229FE">
              <w:rPr>
                <w:rFonts w:ascii="Times New Roman" w:hAnsi="Times New Roman"/>
                <w:bCs/>
              </w:rPr>
              <w:t>jest dokumentem poświadczającym odbiorcy końcowemu wartości</w:t>
            </w:r>
            <w:r>
              <w:rPr>
                <w:rFonts w:ascii="Times New Roman" w:hAnsi="Times New Roman"/>
                <w:bCs/>
              </w:rPr>
              <w:t xml:space="preserve"> </w:t>
            </w:r>
            <w:r w:rsidRPr="000229FE">
              <w:rPr>
                <w:rFonts w:ascii="Times New Roman" w:hAnsi="Times New Roman"/>
                <w:bCs/>
              </w:rPr>
              <w:t>środowiskowe wynikające</w:t>
            </w:r>
            <w:r>
              <w:rPr>
                <w:rFonts w:ascii="Times New Roman" w:hAnsi="Times New Roman"/>
                <w:bCs/>
              </w:rPr>
              <w:t xml:space="preserve"> </w:t>
            </w:r>
            <w:r w:rsidRPr="000229FE">
              <w:rPr>
                <w:rFonts w:ascii="Times New Roman" w:hAnsi="Times New Roman"/>
                <w:bCs/>
              </w:rPr>
              <w:t>z</w:t>
            </w:r>
            <w:r>
              <w:rPr>
                <w:rFonts w:ascii="Times New Roman" w:hAnsi="Times New Roman"/>
                <w:bCs/>
              </w:rPr>
              <w:t xml:space="preserve"> </w:t>
            </w:r>
            <w:r w:rsidRPr="000229FE">
              <w:rPr>
                <w:rFonts w:ascii="Times New Roman" w:hAnsi="Times New Roman"/>
                <w:bCs/>
              </w:rPr>
              <w:t>unikniętej</w:t>
            </w:r>
            <w:r>
              <w:rPr>
                <w:rFonts w:ascii="Times New Roman" w:hAnsi="Times New Roman"/>
                <w:bCs/>
              </w:rPr>
              <w:t xml:space="preserve"> </w:t>
            </w:r>
            <w:r w:rsidRPr="000229FE">
              <w:rPr>
                <w:rFonts w:ascii="Times New Roman" w:hAnsi="Times New Roman"/>
                <w:bCs/>
              </w:rPr>
              <w:t>emisji</w:t>
            </w:r>
            <w:r>
              <w:rPr>
                <w:rFonts w:ascii="Times New Roman" w:hAnsi="Times New Roman"/>
                <w:bCs/>
              </w:rPr>
              <w:t xml:space="preserve"> </w:t>
            </w:r>
            <w:r w:rsidRPr="000229FE">
              <w:rPr>
                <w:rFonts w:ascii="Times New Roman" w:hAnsi="Times New Roman"/>
                <w:bCs/>
              </w:rPr>
              <w:t>gazów</w:t>
            </w:r>
            <w:r>
              <w:rPr>
                <w:rFonts w:ascii="Times New Roman" w:hAnsi="Times New Roman"/>
                <w:bCs/>
              </w:rPr>
              <w:t xml:space="preserve"> </w:t>
            </w:r>
            <w:r w:rsidRPr="000229FE">
              <w:rPr>
                <w:rFonts w:ascii="Times New Roman" w:hAnsi="Times New Roman"/>
                <w:bCs/>
              </w:rPr>
              <w:t>cieplarnianych</w:t>
            </w:r>
            <w:r>
              <w:rPr>
                <w:rFonts w:ascii="Times New Roman" w:hAnsi="Times New Roman"/>
                <w:bCs/>
              </w:rPr>
              <w:t xml:space="preserve"> oraz </w:t>
            </w:r>
            <w:r w:rsidRPr="000229FE">
              <w:rPr>
                <w:rFonts w:ascii="Times New Roman" w:hAnsi="Times New Roman"/>
                <w:bCs/>
              </w:rPr>
              <w:t>że</w:t>
            </w:r>
            <w:r>
              <w:rPr>
                <w:rFonts w:ascii="Times New Roman" w:hAnsi="Times New Roman"/>
                <w:bCs/>
              </w:rPr>
              <w:t xml:space="preserve"> </w:t>
            </w:r>
            <w:r w:rsidRPr="000229FE">
              <w:rPr>
                <w:rFonts w:ascii="Times New Roman" w:hAnsi="Times New Roman"/>
                <w:bCs/>
              </w:rPr>
              <w:t>określona</w:t>
            </w:r>
            <w:r>
              <w:rPr>
                <w:rFonts w:ascii="Times New Roman" w:hAnsi="Times New Roman"/>
                <w:bCs/>
              </w:rPr>
              <w:t xml:space="preserve"> </w:t>
            </w:r>
            <w:r w:rsidRPr="000229FE">
              <w:rPr>
                <w:rFonts w:ascii="Times New Roman" w:hAnsi="Times New Roman"/>
                <w:bCs/>
              </w:rPr>
              <w:t>w</w:t>
            </w:r>
            <w:r>
              <w:rPr>
                <w:rFonts w:ascii="Times New Roman" w:hAnsi="Times New Roman"/>
                <w:bCs/>
              </w:rPr>
              <w:t xml:space="preserve"> </w:t>
            </w:r>
            <w:r w:rsidRPr="000229FE">
              <w:rPr>
                <w:rFonts w:ascii="Times New Roman" w:hAnsi="Times New Roman"/>
                <w:bCs/>
              </w:rPr>
              <w:t>tym dokumencie ilość energii elektrycznej wprowadzonej do sieci dystrybucyjnej lub sieci przesyłowej</w:t>
            </w:r>
            <w:r>
              <w:rPr>
                <w:rFonts w:ascii="Times New Roman" w:hAnsi="Times New Roman"/>
                <w:bCs/>
              </w:rPr>
              <w:t xml:space="preserve"> </w:t>
            </w:r>
            <w:r w:rsidRPr="000229FE">
              <w:rPr>
                <w:rFonts w:ascii="Times New Roman" w:hAnsi="Times New Roman"/>
                <w:bCs/>
              </w:rPr>
              <w:t>została</w:t>
            </w:r>
            <w:r>
              <w:rPr>
                <w:rFonts w:ascii="Times New Roman" w:hAnsi="Times New Roman"/>
                <w:bCs/>
              </w:rPr>
              <w:t xml:space="preserve"> </w:t>
            </w:r>
            <w:r w:rsidRPr="000229FE">
              <w:rPr>
                <w:rFonts w:ascii="Times New Roman" w:hAnsi="Times New Roman"/>
                <w:bCs/>
              </w:rPr>
              <w:t>wytworzona</w:t>
            </w:r>
            <w:r>
              <w:rPr>
                <w:rFonts w:ascii="Times New Roman" w:hAnsi="Times New Roman"/>
                <w:bCs/>
              </w:rPr>
              <w:t xml:space="preserve"> </w:t>
            </w:r>
            <w:r w:rsidRPr="000229FE">
              <w:rPr>
                <w:rFonts w:ascii="Times New Roman" w:hAnsi="Times New Roman"/>
                <w:bCs/>
              </w:rPr>
              <w:t>z</w:t>
            </w:r>
            <w:r>
              <w:rPr>
                <w:rFonts w:ascii="Times New Roman" w:hAnsi="Times New Roman"/>
                <w:bCs/>
              </w:rPr>
              <w:t xml:space="preserve"> </w:t>
            </w:r>
            <w:r w:rsidRPr="000D3F79">
              <w:rPr>
                <w:rFonts w:ascii="Times New Roman" w:hAnsi="Times New Roman"/>
                <w:bCs/>
              </w:rPr>
              <w:t xml:space="preserve">OZE </w:t>
            </w:r>
            <w:r w:rsidRPr="000229FE">
              <w:rPr>
                <w:rFonts w:ascii="Times New Roman" w:hAnsi="Times New Roman"/>
                <w:bCs/>
              </w:rPr>
              <w:t>w</w:t>
            </w:r>
            <w:r>
              <w:rPr>
                <w:rFonts w:ascii="Times New Roman" w:hAnsi="Times New Roman"/>
                <w:bCs/>
              </w:rPr>
              <w:t xml:space="preserve"> </w:t>
            </w:r>
            <w:r w:rsidRPr="000229FE">
              <w:rPr>
                <w:rFonts w:ascii="Times New Roman" w:hAnsi="Times New Roman"/>
                <w:bCs/>
              </w:rPr>
              <w:t>instalacjach odnawialnego źródła energii.</w:t>
            </w:r>
            <w:r>
              <w:rPr>
                <w:rFonts w:ascii="Times New Roman" w:hAnsi="Times New Roman"/>
                <w:bCs/>
              </w:rPr>
              <w:t xml:space="preserve"> Gwarancja pochodzenia określa czy dotyczy ona </w:t>
            </w:r>
            <w:r w:rsidRPr="00233AEE">
              <w:rPr>
                <w:rFonts w:ascii="Times New Roman" w:hAnsi="Times New Roman"/>
                <w:bCs/>
              </w:rPr>
              <w:t>energii elektrycznej</w:t>
            </w:r>
            <w:r w:rsidR="00113FAE">
              <w:rPr>
                <w:rFonts w:ascii="Times New Roman" w:hAnsi="Times New Roman"/>
                <w:bCs/>
              </w:rPr>
              <w:t>,</w:t>
            </w:r>
            <w:r>
              <w:rPr>
                <w:rFonts w:ascii="Times New Roman" w:hAnsi="Times New Roman"/>
                <w:bCs/>
              </w:rPr>
              <w:t xml:space="preserve"> </w:t>
            </w:r>
            <w:r w:rsidRPr="00233AEE">
              <w:rPr>
                <w:rFonts w:ascii="Times New Roman" w:hAnsi="Times New Roman"/>
                <w:bCs/>
              </w:rPr>
              <w:t>gazu, w tym wodoru lub</w:t>
            </w:r>
            <w:r>
              <w:rPr>
                <w:rFonts w:ascii="Times New Roman" w:hAnsi="Times New Roman"/>
                <w:bCs/>
              </w:rPr>
              <w:t xml:space="preserve"> </w:t>
            </w:r>
            <w:r w:rsidRPr="00F51777">
              <w:rPr>
                <w:rFonts w:ascii="Times New Roman" w:hAnsi="Times New Roman"/>
                <w:bCs/>
              </w:rPr>
              <w:t xml:space="preserve">ciepła </w:t>
            </w:r>
            <w:r w:rsidR="00113FAE">
              <w:rPr>
                <w:rFonts w:ascii="Times New Roman" w:hAnsi="Times New Roman"/>
                <w:bCs/>
              </w:rPr>
              <w:t>albo</w:t>
            </w:r>
            <w:r w:rsidR="00113FAE" w:rsidRPr="00F51777">
              <w:rPr>
                <w:rFonts w:ascii="Times New Roman" w:hAnsi="Times New Roman"/>
                <w:bCs/>
              </w:rPr>
              <w:t xml:space="preserve"> </w:t>
            </w:r>
            <w:r w:rsidRPr="00F51777">
              <w:rPr>
                <w:rFonts w:ascii="Times New Roman" w:hAnsi="Times New Roman"/>
                <w:bCs/>
              </w:rPr>
              <w:t>chłodu wytworzonego w instalacji odnawialnego źródła energii</w:t>
            </w:r>
            <w:r>
              <w:rPr>
                <w:rFonts w:ascii="Times New Roman" w:hAnsi="Times New Roman"/>
                <w:bCs/>
              </w:rPr>
              <w:t>.</w:t>
            </w:r>
            <w:r w:rsidRPr="00F51777">
              <w:rPr>
                <w:rFonts w:ascii="Times New Roman" w:hAnsi="Times New Roman"/>
                <w:bCs/>
              </w:rPr>
              <w:t xml:space="preserve"> </w:t>
            </w:r>
          </w:p>
          <w:p w14:paraId="211F3178" w14:textId="65AAE603" w:rsidR="000F1F61" w:rsidRDefault="000F1F61" w:rsidP="000F1F61">
            <w:pPr>
              <w:spacing w:after="120" w:line="240" w:lineRule="auto"/>
              <w:jc w:val="both"/>
              <w:rPr>
                <w:rFonts w:ascii="Times New Roman" w:hAnsi="Times New Roman"/>
                <w:bCs/>
              </w:rPr>
            </w:pPr>
            <w:r>
              <w:rPr>
                <w:rFonts w:ascii="Times New Roman" w:hAnsi="Times New Roman"/>
                <w:bCs/>
              </w:rPr>
              <w:t>Wdrożenie RED II wymaga dokonania zmian przepisów i mechanizmu funkcjonującego już na rynku polskim, które</w:t>
            </w:r>
            <w:r w:rsidR="001501FA">
              <w:rPr>
                <w:rFonts w:ascii="Times New Roman" w:hAnsi="Times New Roman"/>
                <w:bCs/>
              </w:rPr>
              <w:t xml:space="preserve"> to</w:t>
            </w:r>
            <w:r>
              <w:rPr>
                <w:rFonts w:ascii="Times New Roman" w:hAnsi="Times New Roman"/>
                <w:bCs/>
              </w:rPr>
              <w:t xml:space="preserve"> z punktu widzenia funkcjonowania tego systemu mają charakter ewolucyjny. </w:t>
            </w:r>
            <w:r w:rsidRPr="0033230B">
              <w:rPr>
                <w:rFonts w:ascii="Times New Roman" w:hAnsi="Times New Roman"/>
                <w:bCs/>
              </w:rPr>
              <w:t xml:space="preserve">Gwarancje pochodzenia pozostają jednym z kluczowych elementów korporacyjnych umów na sprzedaż energii, stanowiących metodę finansowania rozwoju </w:t>
            </w:r>
            <w:r>
              <w:rPr>
                <w:rFonts w:ascii="Times New Roman" w:hAnsi="Times New Roman"/>
                <w:bCs/>
              </w:rPr>
              <w:t>OZE</w:t>
            </w:r>
            <w:r w:rsidRPr="0033230B">
              <w:rPr>
                <w:rFonts w:ascii="Times New Roman" w:hAnsi="Times New Roman"/>
                <w:bCs/>
              </w:rPr>
              <w:t>, bez konieczności zaangażowania środków publicznych i tym samym</w:t>
            </w:r>
            <w:r>
              <w:rPr>
                <w:rFonts w:ascii="Times New Roman" w:hAnsi="Times New Roman"/>
                <w:bCs/>
              </w:rPr>
              <w:t>, z zachowaniem odpowiednich proporcji,</w:t>
            </w:r>
            <w:r w:rsidRPr="0033230B">
              <w:rPr>
                <w:rFonts w:ascii="Times New Roman" w:hAnsi="Times New Roman"/>
                <w:bCs/>
              </w:rPr>
              <w:t xml:space="preserve"> </w:t>
            </w:r>
            <w:r>
              <w:rPr>
                <w:rFonts w:ascii="Times New Roman" w:hAnsi="Times New Roman"/>
                <w:bCs/>
              </w:rPr>
              <w:t xml:space="preserve">rodzaj </w:t>
            </w:r>
            <w:r w:rsidRPr="0033230B">
              <w:rPr>
                <w:rFonts w:ascii="Times New Roman" w:hAnsi="Times New Roman"/>
                <w:bCs/>
              </w:rPr>
              <w:t>alternatyw</w:t>
            </w:r>
            <w:r>
              <w:rPr>
                <w:rFonts w:ascii="Times New Roman" w:hAnsi="Times New Roman"/>
                <w:bCs/>
              </w:rPr>
              <w:t>y</w:t>
            </w:r>
            <w:r w:rsidRPr="0033230B">
              <w:rPr>
                <w:rFonts w:ascii="Times New Roman" w:hAnsi="Times New Roman"/>
                <w:bCs/>
              </w:rPr>
              <w:t xml:space="preserve"> dla obowiązujących systemów wsparcia. Wykorzystanie gwarancji pochodzenia w tym zakresie stanowi warunek potwierdzenia wystąpienia efektu ekologicznego wynikającego z wykorzystania energii objętej taką umową</w:t>
            </w:r>
            <w:r>
              <w:rPr>
                <w:rFonts w:ascii="Times New Roman" w:hAnsi="Times New Roman"/>
                <w:bCs/>
              </w:rPr>
              <w:t xml:space="preserve">. </w:t>
            </w:r>
          </w:p>
          <w:p w14:paraId="44B99CBD" w14:textId="71A0F64E" w:rsidR="000F1F61" w:rsidRDefault="000F1F61" w:rsidP="000F1F61">
            <w:pPr>
              <w:spacing w:after="120" w:line="240" w:lineRule="auto"/>
              <w:jc w:val="both"/>
              <w:rPr>
                <w:rFonts w:ascii="Times New Roman" w:hAnsi="Times New Roman"/>
                <w:bCs/>
              </w:rPr>
            </w:pPr>
            <w:r>
              <w:rPr>
                <w:rFonts w:ascii="Times New Roman" w:hAnsi="Times New Roman"/>
                <w:bCs/>
              </w:rPr>
              <w:t xml:space="preserve">Przewiduje się, że rozwój rynku gwarancji pochodzenia przyspieszy w przypadku przystąpienia Polski do </w:t>
            </w:r>
            <w:proofErr w:type="spellStart"/>
            <w:r w:rsidRPr="00B073AF">
              <w:rPr>
                <w:rFonts w:ascii="Times New Roman" w:hAnsi="Times New Roman"/>
                <w:bCs/>
              </w:rPr>
              <w:t>Association</w:t>
            </w:r>
            <w:proofErr w:type="spellEnd"/>
            <w:r w:rsidRPr="00B073AF">
              <w:rPr>
                <w:rFonts w:ascii="Times New Roman" w:hAnsi="Times New Roman"/>
                <w:bCs/>
              </w:rPr>
              <w:t xml:space="preserve"> of </w:t>
            </w:r>
            <w:proofErr w:type="spellStart"/>
            <w:r w:rsidRPr="00B073AF">
              <w:rPr>
                <w:rFonts w:ascii="Times New Roman" w:hAnsi="Times New Roman"/>
                <w:bCs/>
              </w:rPr>
              <w:t>Issuing</w:t>
            </w:r>
            <w:proofErr w:type="spellEnd"/>
            <w:r w:rsidRPr="00B073AF">
              <w:rPr>
                <w:rFonts w:ascii="Times New Roman" w:hAnsi="Times New Roman"/>
                <w:bCs/>
              </w:rPr>
              <w:t xml:space="preserve"> </w:t>
            </w:r>
            <w:proofErr w:type="spellStart"/>
            <w:r w:rsidRPr="00B073AF">
              <w:rPr>
                <w:rFonts w:ascii="Times New Roman" w:hAnsi="Times New Roman"/>
                <w:bCs/>
              </w:rPr>
              <w:t>Bodies</w:t>
            </w:r>
            <w:proofErr w:type="spellEnd"/>
            <w:r w:rsidRPr="00B073AF">
              <w:rPr>
                <w:rFonts w:ascii="Times New Roman" w:hAnsi="Times New Roman"/>
                <w:bCs/>
              </w:rPr>
              <w:t xml:space="preserve"> (</w:t>
            </w:r>
            <w:r>
              <w:rPr>
                <w:rFonts w:ascii="Times New Roman" w:hAnsi="Times New Roman"/>
                <w:bCs/>
              </w:rPr>
              <w:t xml:space="preserve">zwane </w:t>
            </w:r>
            <w:r w:rsidRPr="00B073AF">
              <w:rPr>
                <w:rFonts w:ascii="Times New Roman" w:hAnsi="Times New Roman"/>
                <w:bCs/>
              </w:rPr>
              <w:t xml:space="preserve">dalej </w:t>
            </w:r>
            <w:r>
              <w:rPr>
                <w:rFonts w:ascii="Times New Roman" w:hAnsi="Times New Roman"/>
                <w:bCs/>
              </w:rPr>
              <w:t>„</w:t>
            </w:r>
            <w:r w:rsidRPr="00B073AF">
              <w:rPr>
                <w:rFonts w:ascii="Times New Roman" w:hAnsi="Times New Roman"/>
                <w:bCs/>
              </w:rPr>
              <w:t>AIB</w:t>
            </w:r>
            <w:r>
              <w:rPr>
                <w:rFonts w:ascii="Times New Roman" w:hAnsi="Times New Roman"/>
                <w:bCs/>
              </w:rPr>
              <w:t>”</w:t>
            </w:r>
            <w:r w:rsidRPr="00B073AF">
              <w:rPr>
                <w:rFonts w:ascii="Times New Roman" w:hAnsi="Times New Roman"/>
                <w:bCs/>
              </w:rPr>
              <w:t>)</w:t>
            </w:r>
            <w:r>
              <w:rPr>
                <w:rFonts w:ascii="Times New Roman" w:hAnsi="Times New Roman"/>
                <w:bCs/>
              </w:rPr>
              <w:t xml:space="preserve">. AIB jest </w:t>
            </w:r>
            <w:r w:rsidRPr="00B073AF">
              <w:rPr>
                <w:rFonts w:ascii="Times New Roman" w:hAnsi="Times New Roman"/>
                <w:bCs/>
              </w:rPr>
              <w:t>europejski</w:t>
            </w:r>
            <w:r>
              <w:rPr>
                <w:rFonts w:ascii="Times New Roman" w:hAnsi="Times New Roman"/>
                <w:bCs/>
              </w:rPr>
              <w:t>m</w:t>
            </w:r>
            <w:r w:rsidRPr="00B073AF">
              <w:rPr>
                <w:rFonts w:ascii="Times New Roman" w:hAnsi="Times New Roman"/>
                <w:bCs/>
              </w:rPr>
              <w:t xml:space="preserve"> stowarzyszeni</w:t>
            </w:r>
            <w:r>
              <w:rPr>
                <w:rFonts w:ascii="Times New Roman" w:hAnsi="Times New Roman"/>
                <w:bCs/>
              </w:rPr>
              <w:t>em</w:t>
            </w:r>
            <w:r w:rsidRPr="00B073AF">
              <w:rPr>
                <w:rFonts w:ascii="Times New Roman" w:hAnsi="Times New Roman"/>
                <w:bCs/>
              </w:rPr>
              <w:t xml:space="preserve"> zrzeszając</w:t>
            </w:r>
            <w:r>
              <w:rPr>
                <w:rFonts w:ascii="Times New Roman" w:hAnsi="Times New Roman"/>
                <w:bCs/>
              </w:rPr>
              <w:t>ym</w:t>
            </w:r>
            <w:r w:rsidRPr="00B073AF">
              <w:rPr>
                <w:rFonts w:ascii="Times New Roman" w:hAnsi="Times New Roman"/>
                <w:bCs/>
              </w:rPr>
              <w:t xml:space="preserve"> podmioty wydające gwarancje pochodzenia</w:t>
            </w:r>
            <w:r>
              <w:rPr>
                <w:rFonts w:ascii="Times New Roman" w:hAnsi="Times New Roman"/>
                <w:bCs/>
              </w:rPr>
              <w:t xml:space="preserve"> i tym samym umożliwiającym sprawny obrót nimi z partnerami zagranicznymi. Kwestia potwierdzenia pochodzenia źródeł energii jest czynnikiem coraz częściej podnoszonym przed przedsiębiorstwa chcące korzystać tylko z czystej energii. Jest także jednym z czynników decydujących o lokalizacji inwestycji w wybranym kraju. Wobec </w:t>
            </w:r>
            <w:r w:rsidR="00113FAE">
              <w:rPr>
                <w:rFonts w:ascii="Times New Roman" w:hAnsi="Times New Roman"/>
                <w:bCs/>
              </w:rPr>
              <w:t xml:space="preserve">tego, </w:t>
            </w:r>
            <w:r>
              <w:rPr>
                <w:rFonts w:ascii="Times New Roman" w:hAnsi="Times New Roman"/>
                <w:bCs/>
              </w:rPr>
              <w:t xml:space="preserve">możliwość potwierdzenia pochodzenia i obrót tymi gwarancjami na rynku międzynarodowym nabiera szerszego, gospodarczego aspektu związanego z bezpośrednimi inwestycjami zagranicznymi w państwach członkowskich. </w:t>
            </w:r>
          </w:p>
          <w:p w14:paraId="54F8D8D1" w14:textId="4715F91C" w:rsidR="000F1F61" w:rsidRDefault="000F1F61" w:rsidP="000F1F61">
            <w:pPr>
              <w:autoSpaceDE w:val="0"/>
              <w:autoSpaceDN w:val="0"/>
              <w:adjustRightInd w:val="0"/>
              <w:spacing w:after="120" w:line="240" w:lineRule="auto"/>
              <w:jc w:val="both"/>
              <w:rPr>
                <w:rFonts w:ascii="Times New Roman" w:hAnsi="Times New Roman"/>
                <w:bCs/>
              </w:rPr>
            </w:pPr>
            <w:r>
              <w:rPr>
                <w:rFonts w:ascii="Times New Roman" w:hAnsi="Times New Roman"/>
                <w:bCs/>
              </w:rPr>
              <w:lastRenderedPageBreak/>
              <w:t xml:space="preserve">Innym wymogiem stawianym w art. 19 RED II, a jednocześnie wyzwaniem dla prawodawcy krajowego jest uwzględnienie sytuacji, aby </w:t>
            </w:r>
            <w:r w:rsidRPr="00E02DB3">
              <w:rPr>
                <w:rFonts w:ascii="Times New Roman" w:hAnsi="Times New Roman"/>
                <w:bCs/>
              </w:rPr>
              <w:t>w przypadku gdy producent otrzymuje wsparcie finansowe z systemu wsparcia, wartość rynkowa gwarancji pochodzenia dla tej samej produkcji była należycie uwzględniana w danym systemie wsparcia</w:t>
            </w:r>
            <w:r>
              <w:rPr>
                <w:rFonts w:ascii="Times New Roman" w:hAnsi="Times New Roman"/>
                <w:bCs/>
              </w:rPr>
              <w:t xml:space="preserve">. </w:t>
            </w:r>
          </w:p>
          <w:p w14:paraId="1DB1B594" w14:textId="64434B81" w:rsidR="00E63408" w:rsidRPr="000D3F79" w:rsidRDefault="000F1F61" w:rsidP="000F1F61">
            <w:pPr>
              <w:autoSpaceDE w:val="0"/>
              <w:autoSpaceDN w:val="0"/>
              <w:adjustRightInd w:val="0"/>
              <w:spacing w:after="120" w:line="240" w:lineRule="auto"/>
              <w:jc w:val="both"/>
              <w:rPr>
                <w:rFonts w:ascii="Times New Roman" w:hAnsi="Times New Roman"/>
                <w:b/>
                <w:bCs/>
                <w:color w:val="000000"/>
                <w:u w:val="single"/>
              </w:rPr>
            </w:pPr>
            <w:r>
              <w:rPr>
                <w:rFonts w:ascii="Times New Roman" w:hAnsi="Times New Roman"/>
                <w:b/>
                <w:bCs/>
                <w:color w:val="000000"/>
                <w:u w:val="single"/>
              </w:rPr>
              <w:t xml:space="preserve">III.3. </w:t>
            </w:r>
            <w:r w:rsidR="007479C3" w:rsidRPr="000D3F79">
              <w:rPr>
                <w:rFonts w:ascii="Times New Roman" w:hAnsi="Times New Roman"/>
                <w:b/>
                <w:bCs/>
                <w:color w:val="000000"/>
                <w:u w:val="single"/>
              </w:rPr>
              <w:t>Krajowy Punkt Kontaktowy</w:t>
            </w:r>
            <w:r w:rsidR="00101B3C" w:rsidRPr="000D3F79">
              <w:rPr>
                <w:rFonts w:ascii="Times New Roman" w:hAnsi="Times New Roman"/>
                <w:b/>
                <w:bCs/>
                <w:color w:val="000000"/>
                <w:u w:val="single"/>
              </w:rPr>
              <w:t xml:space="preserve"> </w:t>
            </w:r>
            <w:r>
              <w:rPr>
                <w:rFonts w:ascii="Times New Roman" w:hAnsi="Times New Roman"/>
                <w:b/>
                <w:bCs/>
                <w:color w:val="000000"/>
                <w:u w:val="single"/>
              </w:rPr>
              <w:t xml:space="preserve">OZE </w:t>
            </w:r>
            <w:r w:rsidR="00101B3C" w:rsidRPr="000D3F79">
              <w:rPr>
                <w:rFonts w:ascii="Times New Roman" w:hAnsi="Times New Roman"/>
                <w:b/>
                <w:bCs/>
                <w:color w:val="000000"/>
                <w:u w:val="single"/>
              </w:rPr>
              <w:t>(KPK</w:t>
            </w:r>
            <w:r w:rsidR="006B3770">
              <w:rPr>
                <w:rFonts w:ascii="Times New Roman" w:hAnsi="Times New Roman"/>
                <w:b/>
                <w:bCs/>
                <w:color w:val="000000"/>
                <w:u w:val="single"/>
              </w:rPr>
              <w:t xml:space="preserve"> OZE</w:t>
            </w:r>
            <w:r w:rsidR="00101B3C" w:rsidRPr="000D3F79">
              <w:rPr>
                <w:rFonts w:ascii="Times New Roman" w:hAnsi="Times New Roman"/>
                <w:b/>
                <w:bCs/>
                <w:color w:val="000000"/>
                <w:u w:val="single"/>
              </w:rPr>
              <w:t>)</w:t>
            </w:r>
          </w:p>
          <w:p w14:paraId="35C11BA5" w14:textId="26EBF294" w:rsidR="00101B3C" w:rsidRPr="00101B3C" w:rsidRDefault="00101B3C">
            <w:pPr>
              <w:autoSpaceDE w:val="0"/>
              <w:autoSpaceDN w:val="0"/>
              <w:adjustRightInd w:val="0"/>
              <w:spacing w:line="240" w:lineRule="auto"/>
              <w:jc w:val="both"/>
              <w:rPr>
                <w:rFonts w:ascii="Times New Roman" w:hAnsi="Times New Roman"/>
                <w:bCs/>
                <w:color w:val="000000"/>
              </w:rPr>
            </w:pPr>
            <w:r w:rsidRPr="00101B3C">
              <w:rPr>
                <w:rFonts w:ascii="Times New Roman" w:hAnsi="Times New Roman"/>
                <w:bCs/>
                <w:color w:val="000000"/>
              </w:rPr>
              <w:t xml:space="preserve">Regulacje zawarte w ustawie z dnia 20 lutego 2015 r. </w:t>
            </w:r>
            <w:r w:rsidRPr="004B458B">
              <w:rPr>
                <w:rFonts w:ascii="Times New Roman" w:hAnsi="Times New Roman"/>
                <w:bCs/>
                <w:i/>
                <w:iCs/>
                <w:color w:val="000000"/>
              </w:rPr>
              <w:t>o odnawialnych źródłach energii</w:t>
            </w:r>
            <w:r w:rsidRPr="00101B3C">
              <w:rPr>
                <w:rFonts w:ascii="Times New Roman" w:hAnsi="Times New Roman"/>
                <w:bCs/>
                <w:color w:val="000000"/>
              </w:rPr>
              <w:t xml:space="preserve"> (Dz. U. z 2020 r. poz. 261, z </w:t>
            </w:r>
            <w:proofErr w:type="spellStart"/>
            <w:r w:rsidRPr="00101B3C">
              <w:rPr>
                <w:rFonts w:ascii="Times New Roman" w:hAnsi="Times New Roman"/>
                <w:bCs/>
                <w:color w:val="000000"/>
              </w:rPr>
              <w:t>późn</w:t>
            </w:r>
            <w:proofErr w:type="spellEnd"/>
            <w:r w:rsidRPr="00101B3C">
              <w:rPr>
                <w:rFonts w:ascii="Times New Roman" w:hAnsi="Times New Roman"/>
                <w:bCs/>
                <w:color w:val="000000"/>
              </w:rPr>
              <w:t>. zm.)</w:t>
            </w:r>
            <w:r w:rsidR="001C4B99">
              <w:rPr>
                <w:rFonts w:ascii="Times New Roman" w:hAnsi="Times New Roman"/>
                <w:bCs/>
                <w:color w:val="000000"/>
              </w:rPr>
              <w:t>,</w:t>
            </w:r>
            <w:r w:rsidR="00581F6F">
              <w:rPr>
                <w:rFonts w:ascii="Times New Roman" w:hAnsi="Times New Roman"/>
                <w:bCs/>
                <w:color w:val="000000"/>
              </w:rPr>
              <w:t xml:space="preserve"> </w:t>
            </w:r>
            <w:r w:rsidR="007F20F7">
              <w:rPr>
                <w:rFonts w:ascii="Times New Roman" w:hAnsi="Times New Roman"/>
                <w:bCs/>
                <w:color w:val="000000"/>
              </w:rPr>
              <w:t xml:space="preserve">zwanej </w:t>
            </w:r>
            <w:r w:rsidR="004E7BA9">
              <w:rPr>
                <w:rFonts w:ascii="Times New Roman" w:hAnsi="Times New Roman"/>
                <w:bCs/>
                <w:color w:val="000000"/>
              </w:rPr>
              <w:t>dalej „ustaw</w:t>
            </w:r>
            <w:r w:rsidR="007F20F7">
              <w:rPr>
                <w:rFonts w:ascii="Times New Roman" w:hAnsi="Times New Roman"/>
                <w:bCs/>
                <w:color w:val="000000"/>
              </w:rPr>
              <w:t>ą</w:t>
            </w:r>
            <w:r w:rsidR="004E7BA9">
              <w:rPr>
                <w:rFonts w:ascii="Times New Roman" w:hAnsi="Times New Roman"/>
                <w:bCs/>
                <w:color w:val="000000"/>
              </w:rPr>
              <w:t>”</w:t>
            </w:r>
            <w:r w:rsidR="001C4B99">
              <w:rPr>
                <w:rFonts w:ascii="Times New Roman" w:hAnsi="Times New Roman"/>
                <w:bCs/>
                <w:color w:val="000000"/>
              </w:rPr>
              <w:t xml:space="preserve"> lub „ustawą OZE”,</w:t>
            </w:r>
            <w:r w:rsidR="007F20F7">
              <w:rPr>
                <w:rFonts w:ascii="Times New Roman" w:hAnsi="Times New Roman"/>
                <w:bCs/>
                <w:color w:val="000000"/>
              </w:rPr>
              <w:t xml:space="preserve"> </w:t>
            </w:r>
            <w:r w:rsidRPr="00101B3C">
              <w:rPr>
                <w:rFonts w:ascii="Times New Roman" w:hAnsi="Times New Roman"/>
                <w:bCs/>
                <w:color w:val="000000"/>
              </w:rPr>
              <w:t>w jej dotychczasowym brzmieniu nie zapewniają możliwości pełnego wsparcia informacyjnego, którym powinien zostać objęty przyszły wytwórca odnawialnych źródeł energii. W chwili obecnej</w:t>
            </w:r>
            <w:r w:rsidR="00113FAE">
              <w:rPr>
                <w:rFonts w:ascii="Times New Roman" w:hAnsi="Times New Roman"/>
                <w:bCs/>
                <w:color w:val="000000"/>
              </w:rPr>
              <w:t>,</w:t>
            </w:r>
            <w:r w:rsidRPr="00101B3C">
              <w:rPr>
                <w:rFonts w:ascii="Times New Roman" w:hAnsi="Times New Roman"/>
                <w:bCs/>
                <w:color w:val="000000"/>
              </w:rPr>
              <w:t xml:space="preserve"> w zależności od mocy </w:t>
            </w:r>
            <w:r w:rsidR="007F20F7">
              <w:rPr>
                <w:rFonts w:ascii="Times New Roman" w:hAnsi="Times New Roman"/>
                <w:bCs/>
                <w:color w:val="000000"/>
              </w:rPr>
              <w:t xml:space="preserve">instalacji odnawialnego źródła energii (zwanych dalej: </w:t>
            </w:r>
            <w:r w:rsidRPr="00101B3C">
              <w:rPr>
                <w:rFonts w:ascii="Times New Roman" w:hAnsi="Times New Roman"/>
                <w:bCs/>
                <w:color w:val="000000"/>
              </w:rPr>
              <w:t>instalacj</w:t>
            </w:r>
            <w:r w:rsidR="007F20F7">
              <w:rPr>
                <w:rFonts w:ascii="Times New Roman" w:hAnsi="Times New Roman"/>
                <w:bCs/>
                <w:color w:val="000000"/>
              </w:rPr>
              <w:t>ami</w:t>
            </w:r>
            <w:r w:rsidRPr="00101B3C">
              <w:rPr>
                <w:rFonts w:ascii="Times New Roman" w:hAnsi="Times New Roman"/>
                <w:bCs/>
                <w:color w:val="000000"/>
              </w:rPr>
              <w:t xml:space="preserve"> OZE</w:t>
            </w:r>
            <w:r w:rsidR="007F20F7">
              <w:rPr>
                <w:rFonts w:ascii="Times New Roman" w:hAnsi="Times New Roman"/>
                <w:bCs/>
                <w:color w:val="000000"/>
              </w:rPr>
              <w:t>”)</w:t>
            </w:r>
            <w:r w:rsidRPr="00101B3C">
              <w:rPr>
                <w:rFonts w:ascii="Times New Roman" w:hAnsi="Times New Roman"/>
                <w:bCs/>
                <w:color w:val="000000"/>
              </w:rPr>
              <w:t xml:space="preserve"> oraz jej rodzaju</w:t>
            </w:r>
            <w:r w:rsidR="00113FAE">
              <w:rPr>
                <w:rFonts w:ascii="Times New Roman" w:hAnsi="Times New Roman"/>
                <w:bCs/>
                <w:color w:val="000000"/>
              </w:rPr>
              <w:t>,</w:t>
            </w:r>
            <w:r w:rsidRPr="00101B3C">
              <w:rPr>
                <w:rFonts w:ascii="Times New Roman" w:hAnsi="Times New Roman"/>
                <w:bCs/>
                <w:color w:val="000000"/>
              </w:rPr>
              <w:t xml:space="preserve"> przyszły wytwórca, aby móc rozpocząć produkcję energii elektrycznej z instalacji OZE</w:t>
            </w:r>
            <w:r w:rsidR="00113FAE">
              <w:rPr>
                <w:rFonts w:ascii="Times New Roman" w:hAnsi="Times New Roman"/>
                <w:bCs/>
                <w:color w:val="000000"/>
              </w:rPr>
              <w:t>,</w:t>
            </w:r>
            <w:r w:rsidRPr="00101B3C">
              <w:rPr>
                <w:rFonts w:ascii="Times New Roman" w:hAnsi="Times New Roman"/>
                <w:bCs/>
                <w:color w:val="000000"/>
              </w:rPr>
              <w:t xml:space="preserve"> musi uzyskać kilka lub wszystkie z wymienionych poniżej rozstrzygnięć: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3"/>
            </w:tblGrid>
            <w:tr w:rsidR="00101B3C" w:rsidRPr="00101B3C" w14:paraId="7AA8AB25" w14:textId="77777777" w:rsidTr="000D3F79">
              <w:trPr>
                <w:trHeight w:val="425"/>
              </w:trPr>
              <w:tc>
                <w:tcPr>
                  <w:tcW w:w="5353" w:type="dxa"/>
                  <w:shd w:val="clear" w:color="auto" w:fill="9CC2E5"/>
                  <w:vAlign w:val="center"/>
                </w:tcPr>
                <w:p w14:paraId="772A7913" w14:textId="77777777" w:rsidR="00101B3C" w:rsidRPr="000D3F79" w:rsidRDefault="00101B3C" w:rsidP="000D3F79">
                  <w:pPr>
                    <w:autoSpaceDE w:val="0"/>
                    <w:autoSpaceDN w:val="0"/>
                    <w:adjustRightInd w:val="0"/>
                    <w:spacing w:line="240" w:lineRule="auto"/>
                    <w:rPr>
                      <w:rFonts w:ascii="Times New Roman" w:hAnsi="Times New Roman"/>
                      <w:b/>
                      <w:bCs/>
                      <w:color w:val="000000"/>
                    </w:rPr>
                  </w:pPr>
                  <w:r w:rsidRPr="000D3F79">
                    <w:rPr>
                      <w:rFonts w:ascii="Times New Roman" w:hAnsi="Times New Roman"/>
                      <w:b/>
                      <w:bCs/>
                      <w:color w:val="000000"/>
                    </w:rPr>
                    <w:t>Rodzaj rozstrzygnięcia</w:t>
                  </w:r>
                </w:p>
              </w:tc>
              <w:tc>
                <w:tcPr>
                  <w:tcW w:w="5353" w:type="dxa"/>
                  <w:shd w:val="clear" w:color="auto" w:fill="9CC2E5"/>
                  <w:vAlign w:val="center"/>
                </w:tcPr>
                <w:p w14:paraId="3373C065" w14:textId="77777777" w:rsidR="00101B3C" w:rsidRPr="000D3F79" w:rsidRDefault="00101B3C" w:rsidP="000D3F79">
                  <w:pPr>
                    <w:autoSpaceDE w:val="0"/>
                    <w:autoSpaceDN w:val="0"/>
                    <w:adjustRightInd w:val="0"/>
                    <w:spacing w:line="240" w:lineRule="auto"/>
                    <w:rPr>
                      <w:rFonts w:ascii="Times New Roman" w:hAnsi="Times New Roman"/>
                      <w:b/>
                      <w:bCs/>
                      <w:color w:val="000000"/>
                    </w:rPr>
                  </w:pPr>
                  <w:r w:rsidRPr="000D3F79">
                    <w:rPr>
                      <w:rFonts w:ascii="Times New Roman" w:hAnsi="Times New Roman"/>
                      <w:b/>
                      <w:bCs/>
                      <w:color w:val="000000"/>
                    </w:rPr>
                    <w:t>Organ rozstrzygający w sprawie</w:t>
                  </w:r>
                </w:p>
              </w:tc>
            </w:tr>
            <w:tr w:rsidR="00101B3C" w:rsidRPr="00101B3C" w14:paraId="17BA97E8" w14:textId="77777777" w:rsidTr="000D3F79">
              <w:trPr>
                <w:trHeight w:val="506"/>
              </w:trPr>
              <w:tc>
                <w:tcPr>
                  <w:tcW w:w="5353" w:type="dxa"/>
                  <w:shd w:val="clear" w:color="auto" w:fill="auto"/>
                  <w:vAlign w:val="center"/>
                </w:tcPr>
                <w:p w14:paraId="33BA9D15"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Udzielenie promesy / koncesji na wytwarzanie energii elektrycznej</w:t>
                  </w:r>
                </w:p>
              </w:tc>
              <w:tc>
                <w:tcPr>
                  <w:tcW w:w="5353" w:type="dxa"/>
                  <w:shd w:val="clear" w:color="auto" w:fill="auto"/>
                  <w:vAlign w:val="center"/>
                </w:tcPr>
                <w:p w14:paraId="55B83AF4"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Urząd Regulacji Energetyki</w:t>
                  </w:r>
                </w:p>
              </w:tc>
            </w:tr>
            <w:tr w:rsidR="00101B3C" w:rsidRPr="00101B3C" w14:paraId="0F7F9887" w14:textId="77777777" w:rsidTr="000D3F79">
              <w:trPr>
                <w:trHeight w:val="506"/>
              </w:trPr>
              <w:tc>
                <w:tcPr>
                  <w:tcW w:w="5353" w:type="dxa"/>
                  <w:shd w:val="clear" w:color="auto" w:fill="auto"/>
                  <w:vAlign w:val="center"/>
                </w:tcPr>
                <w:p w14:paraId="14977C6F"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Decyzja o środowiskowych uwarunkowaniach</w:t>
                  </w:r>
                </w:p>
              </w:tc>
              <w:tc>
                <w:tcPr>
                  <w:tcW w:w="5353" w:type="dxa"/>
                  <w:shd w:val="clear" w:color="auto" w:fill="auto"/>
                  <w:vAlign w:val="center"/>
                </w:tcPr>
                <w:p w14:paraId="5680350A" w14:textId="3282A621"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Regionalny Dyrektor Ochrony Środowiska</w:t>
                  </w:r>
                  <w:r w:rsidR="00B67B0C">
                    <w:rPr>
                      <w:rFonts w:ascii="Times New Roman" w:hAnsi="Times New Roman"/>
                      <w:color w:val="000000"/>
                    </w:rPr>
                    <w:t xml:space="preserve">, </w:t>
                  </w:r>
                  <w:r w:rsidR="00B67B0C" w:rsidRPr="00B67B0C">
                    <w:rPr>
                      <w:rFonts w:ascii="Times New Roman" w:hAnsi="Times New Roman"/>
                      <w:color w:val="000000"/>
                    </w:rPr>
                    <w:t>Wójt Burmistrz lub Prezydent miasta</w:t>
                  </w:r>
                </w:p>
              </w:tc>
            </w:tr>
            <w:tr w:rsidR="00101B3C" w:rsidRPr="00101B3C" w14:paraId="48CA0788" w14:textId="77777777" w:rsidTr="000D3F79">
              <w:trPr>
                <w:trHeight w:val="506"/>
              </w:trPr>
              <w:tc>
                <w:tcPr>
                  <w:tcW w:w="5353" w:type="dxa"/>
                  <w:shd w:val="clear" w:color="auto" w:fill="auto"/>
                  <w:vAlign w:val="center"/>
                </w:tcPr>
                <w:p w14:paraId="203069B9"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Decyzja o warunkach zabudowy</w:t>
                  </w:r>
                </w:p>
              </w:tc>
              <w:tc>
                <w:tcPr>
                  <w:tcW w:w="5353" w:type="dxa"/>
                  <w:shd w:val="clear" w:color="auto" w:fill="auto"/>
                  <w:vAlign w:val="center"/>
                </w:tcPr>
                <w:p w14:paraId="55F23AE3"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Wójt, Burmistrz lub Prezydent miasta</w:t>
                  </w:r>
                </w:p>
              </w:tc>
            </w:tr>
            <w:tr w:rsidR="00101B3C" w:rsidRPr="00101B3C" w14:paraId="5BA779F4" w14:textId="77777777" w:rsidTr="000D3F79">
              <w:trPr>
                <w:trHeight w:val="506"/>
              </w:trPr>
              <w:tc>
                <w:tcPr>
                  <w:tcW w:w="5353" w:type="dxa"/>
                  <w:shd w:val="clear" w:color="auto" w:fill="auto"/>
                  <w:vAlign w:val="center"/>
                </w:tcPr>
                <w:p w14:paraId="6C420A38"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Pozwolenie na budowę</w:t>
                  </w:r>
                </w:p>
              </w:tc>
              <w:tc>
                <w:tcPr>
                  <w:tcW w:w="5353" w:type="dxa"/>
                  <w:shd w:val="clear" w:color="auto" w:fill="auto"/>
                  <w:vAlign w:val="center"/>
                </w:tcPr>
                <w:p w14:paraId="5465ACEA"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Starosta</w:t>
                  </w:r>
                </w:p>
              </w:tc>
            </w:tr>
            <w:tr w:rsidR="00101B3C" w:rsidRPr="00101B3C" w14:paraId="45382D0B" w14:textId="77777777" w:rsidTr="000D3F79">
              <w:trPr>
                <w:trHeight w:val="506"/>
              </w:trPr>
              <w:tc>
                <w:tcPr>
                  <w:tcW w:w="5353" w:type="dxa"/>
                  <w:shd w:val="clear" w:color="auto" w:fill="auto"/>
                  <w:vAlign w:val="center"/>
                </w:tcPr>
                <w:p w14:paraId="343CFC5F"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Pozwolenie na użytkowanie</w:t>
                  </w:r>
                </w:p>
              </w:tc>
              <w:tc>
                <w:tcPr>
                  <w:tcW w:w="5353" w:type="dxa"/>
                  <w:shd w:val="clear" w:color="auto" w:fill="auto"/>
                  <w:vAlign w:val="center"/>
                </w:tcPr>
                <w:p w14:paraId="08371BF5" w14:textId="77777777" w:rsidR="00101B3C" w:rsidRPr="00101B3C" w:rsidRDefault="00101B3C" w:rsidP="000D3F79">
                  <w:pPr>
                    <w:autoSpaceDE w:val="0"/>
                    <w:autoSpaceDN w:val="0"/>
                    <w:adjustRightInd w:val="0"/>
                    <w:spacing w:line="240" w:lineRule="auto"/>
                    <w:rPr>
                      <w:rFonts w:ascii="Times New Roman" w:hAnsi="Times New Roman"/>
                      <w:color w:val="000000"/>
                    </w:rPr>
                  </w:pPr>
                  <w:r w:rsidRPr="00101B3C">
                    <w:rPr>
                      <w:rFonts w:ascii="Times New Roman" w:hAnsi="Times New Roman"/>
                      <w:color w:val="000000"/>
                    </w:rPr>
                    <w:t>Powiatowy Inspektor Nadzoru Budowlanego</w:t>
                  </w:r>
                </w:p>
              </w:tc>
            </w:tr>
          </w:tbl>
          <w:p w14:paraId="1724CAD4" w14:textId="77777777" w:rsidR="00101B3C" w:rsidRPr="00101B3C" w:rsidRDefault="00101B3C">
            <w:pPr>
              <w:autoSpaceDE w:val="0"/>
              <w:autoSpaceDN w:val="0"/>
              <w:adjustRightInd w:val="0"/>
              <w:spacing w:line="240" w:lineRule="auto"/>
              <w:jc w:val="both"/>
              <w:rPr>
                <w:rFonts w:ascii="Times New Roman" w:hAnsi="Times New Roman"/>
                <w:bCs/>
                <w:color w:val="000000"/>
              </w:rPr>
            </w:pPr>
          </w:p>
          <w:p w14:paraId="1E137158" w14:textId="06F590AD" w:rsidR="00101B3C" w:rsidRPr="00101B3C"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Zgodnie z powyższym</w:t>
            </w:r>
            <w:r w:rsidR="001501FA">
              <w:rPr>
                <w:rFonts w:ascii="Times New Roman" w:hAnsi="Times New Roman"/>
                <w:bCs/>
                <w:color w:val="000000"/>
              </w:rPr>
              <w:t>,</w:t>
            </w:r>
            <w:r w:rsidRPr="00101B3C">
              <w:rPr>
                <w:rFonts w:ascii="Times New Roman" w:hAnsi="Times New Roman"/>
                <w:bCs/>
                <w:color w:val="000000"/>
              </w:rPr>
              <w:t xml:space="preserve"> od etapu rozpoczęcia sprawy do etapu wytwarzania energii z instalacji OZE, wnioskodawca bierze udział w licznych postępowaniach, które są prowadzone przez różne organy administracyjne. Niemniej jednak</w:t>
            </w:r>
            <w:r w:rsidR="00113FAE">
              <w:rPr>
                <w:rFonts w:ascii="Times New Roman" w:hAnsi="Times New Roman"/>
                <w:bCs/>
                <w:color w:val="000000"/>
              </w:rPr>
              <w:t>,</w:t>
            </w:r>
            <w:r w:rsidRPr="00101B3C">
              <w:rPr>
                <w:rFonts w:ascii="Times New Roman" w:hAnsi="Times New Roman"/>
                <w:bCs/>
                <w:color w:val="000000"/>
              </w:rPr>
              <w:t xml:space="preserve"> wnioskodawca nie ma możliwości </w:t>
            </w:r>
            <w:r w:rsidR="00113FAE" w:rsidRPr="00101B3C">
              <w:rPr>
                <w:rFonts w:ascii="Times New Roman" w:hAnsi="Times New Roman"/>
                <w:bCs/>
                <w:color w:val="000000"/>
              </w:rPr>
              <w:t>uzyska</w:t>
            </w:r>
            <w:r w:rsidR="00113FAE">
              <w:rPr>
                <w:rFonts w:ascii="Times New Roman" w:hAnsi="Times New Roman"/>
                <w:bCs/>
                <w:color w:val="000000"/>
              </w:rPr>
              <w:t>nia</w:t>
            </w:r>
            <w:r w:rsidR="00113FAE" w:rsidRPr="00101B3C">
              <w:rPr>
                <w:rFonts w:ascii="Times New Roman" w:hAnsi="Times New Roman"/>
                <w:bCs/>
                <w:color w:val="000000"/>
              </w:rPr>
              <w:t xml:space="preserve"> </w:t>
            </w:r>
            <w:r w:rsidRPr="00101B3C">
              <w:rPr>
                <w:rFonts w:ascii="Times New Roman" w:hAnsi="Times New Roman"/>
                <w:bCs/>
                <w:color w:val="000000"/>
              </w:rPr>
              <w:t xml:space="preserve">w jednym miejscu </w:t>
            </w:r>
            <w:r w:rsidR="00113FAE" w:rsidRPr="00101B3C">
              <w:rPr>
                <w:rFonts w:ascii="Times New Roman" w:hAnsi="Times New Roman"/>
                <w:bCs/>
                <w:color w:val="000000"/>
              </w:rPr>
              <w:t>informacj</w:t>
            </w:r>
            <w:r w:rsidR="00113FAE">
              <w:rPr>
                <w:rFonts w:ascii="Times New Roman" w:hAnsi="Times New Roman"/>
                <w:bCs/>
                <w:color w:val="000000"/>
              </w:rPr>
              <w:t>i</w:t>
            </w:r>
            <w:r w:rsidRPr="00101B3C">
              <w:rPr>
                <w:rFonts w:ascii="Times New Roman" w:hAnsi="Times New Roman"/>
                <w:bCs/>
                <w:color w:val="000000"/>
              </w:rPr>
              <w:t>, które dotyczą całości przeprowadzanego procesu.</w:t>
            </w:r>
          </w:p>
          <w:p w14:paraId="0B03CF8D" w14:textId="166F4BF6" w:rsidR="00101B3C" w:rsidRPr="00101B3C"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 xml:space="preserve">Art. 16 </w:t>
            </w:r>
            <w:r>
              <w:rPr>
                <w:rFonts w:ascii="Times New Roman" w:hAnsi="Times New Roman"/>
                <w:bCs/>
                <w:color w:val="000000"/>
              </w:rPr>
              <w:t xml:space="preserve">RED II </w:t>
            </w:r>
            <w:r w:rsidRPr="00101B3C">
              <w:rPr>
                <w:rFonts w:ascii="Times New Roman" w:hAnsi="Times New Roman"/>
                <w:bCs/>
                <w:color w:val="000000"/>
              </w:rPr>
              <w:t xml:space="preserve">stanowi, iż państwa członkowskie powołują lub wyznaczają co najmniej jeden punkt kontaktowy. </w:t>
            </w:r>
            <w:r w:rsidR="00113FAE">
              <w:rPr>
                <w:rFonts w:ascii="Times New Roman" w:hAnsi="Times New Roman"/>
                <w:bCs/>
                <w:color w:val="000000"/>
              </w:rPr>
              <w:t>P</w:t>
            </w:r>
            <w:r w:rsidRPr="00101B3C">
              <w:rPr>
                <w:rFonts w:ascii="Times New Roman" w:hAnsi="Times New Roman"/>
                <w:bCs/>
                <w:color w:val="000000"/>
              </w:rPr>
              <w:t>unkty kontaktowe</w:t>
            </w:r>
            <w:r w:rsidR="00113FAE">
              <w:rPr>
                <w:rFonts w:ascii="Times New Roman" w:hAnsi="Times New Roman"/>
                <w:bCs/>
                <w:color w:val="000000"/>
              </w:rPr>
              <w:t>,</w:t>
            </w:r>
            <w:r w:rsidRPr="00101B3C">
              <w:rPr>
                <w:rFonts w:ascii="Times New Roman" w:hAnsi="Times New Roman"/>
                <w:bCs/>
                <w:color w:val="000000"/>
              </w:rPr>
              <w:t xml:space="preserve"> na żądanie wnioskodawcy</w:t>
            </w:r>
            <w:r w:rsidR="00113FAE">
              <w:rPr>
                <w:rFonts w:ascii="Times New Roman" w:hAnsi="Times New Roman"/>
                <w:bCs/>
                <w:color w:val="000000"/>
              </w:rPr>
              <w:t>,</w:t>
            </w:r>
            <w:r w:rsidRPr="00101B3C">
              <w:rPr>
                <w:rFonts w:ascii="Times New Roman" w:hAnsi="Times New Roman"/>
                <w:bCs/>
                <w:color w:val="000000"/>
              </w:rPr>
              <w:t xml:space="preserve"> udzielają wskazówek i wsparcia w trakcie przeprowadzania administracyjnej procedury składania wniosków o zezwolenie i wydawania zezwoleń. Wnioskodawca nie ma obowiązku kontaktowania się z więcej niż jednym punktem kontaktowym podczas całej procedury administracyjnej. Procedura wydawania zezwoleń obejmuje odpowiednie administracyjne zezwolenia na budowę, rozbudowę źródeł energii oraz eksploatację obiektów do celów produkcji energii ze źródeł odnawialnych i aktywów niezbędnych do ich podłączenia do sieci. Procedura wydawania zezwoleń obejmuje wszystkie procedury od potwierdzenia otrzymania wniosku do przesłania wyniku właściwej procedury. Punkt kontaktowy ma za zadanie przeprowadzić wnioskodawcę przez administracyjną procedurę składania wniosków o zezwolenie w przejrzysty sposób do momentu wydania przez odpowiedzialne organy jednej lub kilku decyzji na końcu procesu, udzielać mu wszelkich niezbędnych informacji i, w stosownych przypadkach, zapewniać udział innych organów administracyjnych. Wnioskodawcom zezwala się na składanie stosownych dokumentów również w formie cyfrowej.</w:t>
            </w:r>
          </w:p>
          <w:p w14:paraId="3E791DAB" w14:textId="5BF569BA" w:rsidR="007479C3" w:rsidRDefault="00101B3C" w:rsidP="000D3F79">
            <w:pPr>
              <w:autoSpaceDE w:val="0"/>
              <w:autoSpaceDN w:val="0"/>
              <w:adjustRightInd w:val="0"/>
              <w:spacing w:after="120" w:line="240" w:lineRule="auto"/>
              <w:jc w:val="both"/>
              <w:rPr>
                <w:rFonts w:ascii="Times New Roman" w:hAnsi="Times New Roman"/>
                <w:bCs/>
                <w:color w:val="000000"/>
              </w:rPr>
            </w:pPr>
            <w:r w:rsidRPr="00101B3C">
              <w:rPr>
                <w:rFonts w:ascii="Times New Roman" w:hAnsi="Times New Roman"/>
                <w:bCs/>
                <w:color w:val="000000"/>
              </w:rPr>
              <w:t>Zgodnie z powyższym</w:t>
            </w:r>
            <w:r w:rsidR="007652AD">
              <w:rPr>
                <w:rFonts w:ascii="Times New Roman" w:hAnsi="Times New Roman"/>
                <w:bCs/>
                <w:color w:val="000000"/>
              </w:rPr>
              <w:t>,</w:t>
            </w:r>
            <w:r w:rsidRPr="00101B3C">
              <w:rPr>
                <w:rFonts w:ascii="Times New Roman" w:hAnsi="Times New Roman"/>
                <w:bCs/>
                <w:color w:val="000000"/>
              </w:rPr>
              <w:t xml:space="preserve"> zaproponowane w projekcie regulacje </w:t>
            </w:r>
            <w:r>
              <w:rPr>
                <w:rFonts w:ascii="Times New Roman" w:hAnsi="Times New Roman"/>
                <w:bCs/>
                <w:color w:val="000000"/>
              </w:rPr>
              <w:t>dotyczące KPK</w:t>
            </w:r>
            <w:r w:rsidR="00655047">
              <w:rPr>
                <w:rFonts w:ascii="Times New Roman" w:hAnsi="Times New Roman"/>
                <w:bCs/>
                <w:color w:val="000000"/>
              </w:rPr>
              <w:t xml:space="preserve"> OZE</w:t>
            </w:r>
            <w:r>
              <w:rPr>
                <w:rFonts w:ascii="Times New Roman" w:hAnsi="Times New Roman"/>
                <w:bCs/>
                <w:color w:val="000000"/>
              </w:rPr>
              <w:t xml:space="preserve"> </w:t>
            </w:r>
            <w:r w:rsidRPr="00101B3C">
              <w:rPr>
                <w:rFonts w:ascii="Times New Roman" w:hAnsi="Times New Roman"/>
                <w:bCs/>
                <w:color w:val="000000"/>
              </w:rPr>
              <w:t xml:space="preserve">mają na celu realizację art. 16 </w:t>
            </w:r>
            <w:r>
              <w:rPr>
                <w:rFonts w:ascii="Times New Roman" w:hAnsi="Times New Roman"/>
                <w:bCs/>
                <w:color w:val="000000"/>
              </w:rPr>
              <w:t>RED II</w:t>
            </w:r>
            <w:r w:rsidRPr="00101B3C">
              <w:rPr>
                <w:rFonts w:ascii="Times New Roman" w:hAnsi="Times New Roman"/>
                <w:bCs/>
                <w:color w:val="000000"/>
              </w:rPr>
              <w:t>.</w:t>
            </w:r>
          </w:p>
          <w:p w14:paraId="139B983F" w14:textId="494E6912" w:rsidR="00844D22" w:rsidRPr="000D3F79" w:rsidRDefault="000F1F61">
            <w:pPr>
              <w:autoSpaceDE w:val="0"/>
              <w:autoSpaceDN w:val="0"/>
              <w:adjustRightInd w:val="0"/>
              <w:spacing w:line="240" w:lineRule="auto"/>
              <w:jc w:val="both"/>
              <w:rPr>
                <w:rFonts w:ascii="Times New Roman" w:hAnsi="Times New Roman"/>
                <w:b/>
                <w:color w:val="000000"/>
                <w:u w:val="single"/>
              </w:rPr>
            </w:pPr>
            <w:r>
              <w:rPr>
                <w:rFonts w:ascii="Times New Roman" w:hAnsi="Times New Roman"/>
                <w:b/>
                <w:color w:val="000000"/>
                <w:u w:val="single"/>
              </w:rPr>
              <w:t>III.</w:t>
            </w:r>
            <w:r w:rsidR="005C1861">
              <w:rPr>
                <w:rFonts w:ascii="Times New Roman" w:hAnsi="Times New Roman"/>
                <w:b/>
                <w:color w:val="000000"/>
                <w:u w:val="single"/>
              </w:rPr>
              <w:t xml:space="preserve">4. </w:t>
            </w:r>
            <w:r w:rsidR="00844D22" w:rsidRPr="000D3F79">
              <w:rPr>
                <w:rFonts w:ascii="Times New Roman" w:hAnsi="Times New Roman"/>
                <w:b/>
                <w:color w:val="000000"/>
                <w:u w:val="single"/>
              </w:rPr>
              <w:t xml:space="preserve">Uproszczenie procedur administracyjnych </w:t>
            </w:r>
          </w:p>
          <w:p w14:paraId="532C63DB" w14:textId="6061FCFF"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 xml:space="preserve">Otoczenie regulacyjne wymiernie wpływa na warunki realizacji inwestycji w odnawialne źródła energii. Jednym z najistotniejszych elementów </w:t>
            </w:r>
            <w:r w:rsidR="003464F8">
              <w:rPr>
                <w:rFonts w:ascii="Times New Roman" w:hAnsi="Times New Roman"/>
                <w:bCs/>
                <w:color w:val="000000"/>
              </w:rPr>
              <w:t xml:space="preserve">sprawnego </w:t>
            </w:r>
            <w:r w:rsidRPr="00844D22">
              <w:rPr>
                <w:rFonts w:ascii="Times New Roman" w:hAnsi="Times New Roman"/>
                <w:bCs/>
                <w:color w:val="000000"/>
              </w:rPr>
              <w:t xml:space="preserve">procesu inwestycyjnego, obok </w:t>
            </w:r>
            <w:r w:rsidR="003464F8">
              <w:rPr>
                <w:rFonts w:ascii="Times New Roman" w:hAnsi="Times New Roman"/>
                <w:bCs/>
                <w:color w:val="000000"/>
              </w:rPr>
              <w:t xml:space="preserve">jasności i </w:t>
            </w:r>
            <w:r w:rsidRPr="00844D22">
              <w:rPr>
                <w:rFonts w:ascii="Times New Roman" w:hAnsi="Times New Roman"/>
                <w:bCs/>
                <w:color w:val="000000"/>
              </w:rPr>
              <w:t xml:space="preserve">przewidywalności </w:t>
            </w:r>
            <w:r w:rsidR="003464F8">
              <w:rPr>
                <w:rFonts w:ascii="Times New Roman" w:hAnsi="Times New Roman"/>
                <w:bCs/>
                <w:color w:val="000000"/>
              </w:rPr>
              <w:t>rozstrzygnięć administracyjnych</w:t>
            </w:r>
            <w:r w:rsidRPr="00844D22">
              <w:rPr>
                <w:rFonts w:ascii="Times New Roman" w:hAnsi="Times New Roman"/>
                <w:bCs/>
                <w:color w:val="000000"/>
              </w:rPr>
              <w:t xml:space="preserve">, jest długość trwania procedur administracyjnych, która może w skrajnych przypadkach </w:t>
            </w:r>
            <w:r w:rsidR="009271A7">
              <w:rPr>
                <w:rFonts w:ascii="Times New Roman" w:hAnsi="Times New Roman"/>
                <w:bCs/>
                <w:color w:val="000000"/>
              </w:rPr>
              <w:t xml:space="preserve">skutkować </w:t>
            </w:r>
            <w:r w:rsidRPr="00844D22">
              <w:rPr>
                <w:rFonts w:ascii="Times New Roman" w:hAnsi="Times New Roman"/>
                <w:bCs/>
                <w:color w:val="000000"/>
              </w:rPr>
              <w:t xml:space="preserve">nawet </w:t>
            </w:r>
            <w:r w:rsidR="009271A7">
              <w:rPr>
                <w:rFonts w:ascii="Times New Roman" w:hAnsi="Times New Roman"/>
                <w:bCs/>
                <w:color w:val="000000"/>
              </w:rPr>
              <w:t>wycofaniem</w:t>
            </w:r>
            <w:r w:rsidRPr="00844D22">
              <w:rPr>
                <w:rFonts w:ascii="Times New Roman" w:hAnsi="Times New Roman"/>
                <w:bCs/>
                <w:color w:val="000000"/>
              </w:rPr>
              <w:t xml:space="preserve"> decyzji o </w:t>
            </w:r>
            <w:r w:rsidR="001501FA">
              <w:rPr>
                <w:rFonts w:ascii="Times New Roman" w:hAnsi="Times New Roman"/>
                <w:bCs/>
                <w:color w:val="000000"/>
              </w:rPr>
              <w:t xml:space="preserve">podjęciu decyzji o </w:t>
            </w:r>
            <w:r w:rsidRPr="00844D22">
              <w:rPr>
                <w:rFonts w:ascii="Times New Roman" w:hAnsi="Times New Roman"/>
                <w:bCs/>
                <w:color w:val="000000"/>
              </w:rPr>
              <w:t>realizacji projekt</w:t>
            </w:r>
            <w:r w:rsidR="009271A7">
              <w:rPr>
                <w:rFonts w:ascii="Times New Roman" w:hAnsi="Times New Roman"/>
                <w:bCs/>
                <w:color w:val="000000"/>
              </w:rPr>
              <w:t>u</w:t>
            </w:r>
            <w:r w:rsidRPr="00844D22">
              <w:rPr>
                <w:rFonts w:ascii="Times New Roman" w:hAnsi="Times New Roman"/>
                <w:bCs/>
                <w:color w:val="000000"/>
              </w:rPr>
              <w:t>. Wpływ na to mogą mieć zachodzące w międzyczasie zmiany rynkowe, zmiany regulacyjne, utrata możliwości uzyskania pomocy inwestycyjnej z programów zewnętrznych czy rozpowszechnienie bardziej nowoczesnych technologii, powodujących konieczność zmian lub większ</w:t>
            </w:r>
            <w:r w:rsidR="001A33BE">
              <w:rPr>
                <w:rFonts w:ascii="Times New Roman" w:hAnsi="Times New Roman"/>
                <w:bCs/>
                <w:color w:val="000000"/>
              </w:rPr>
              <w:t>ą</w:t>
            </w:r>
            <w:r w:rsidRPr="00844D22">
              <w:rPr>
                <w:rFonts w:ascii="Times New Roman" w:hAnsi="Times New Roman"/>
                <w:bCs/>
                <w:color w:val="000000"/>
              </w:rPr>
              <w:t xml:space="preserve"> opłacalność rozpoczęcia nowego projektu. </w:t>
            </w:r>
          </w:p>
          <w:p w14:paraId="68FFA086" w14:textId="545657AF"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 xml:space="preserve">W zakresie procedur administracyjnych w procesie inwestycyjnym w OZE, </w:t>
            </w:r>
            <w:r w:rsidR="002A1045">
              <w:rPr>
                <w:rFonts w:ascii="Times New Roman" w:hAnsi="Times New Roman"/>
                <w:bCs/>
                <w:color w:val="000000"/>
              </w:rPr>
              <w:t>d</w:t>
            </w:r>
            <w:r w:rsidRPr="00844D22">
              <w:rPr>
                <w:rFonts w:ascii="Times New Roman" w:hAnsi="Times New Roman"/>
                <w:bCs/>
                <w:color w:val="000000"/>
              </w:rPr>
              <w:t xml:space="preserve">yrektywa RED II stawia wymogi, do których spełnienia zobowiązane są państwa członkowskie Unii Europejskiej. Zgodnie z art. 16 ust. 4 RED II łączny czas trwania procedur związanych </w:t>
            </w:r>
            <w:r w:rsidR="001A33BE">
              <w:rPr>
                <w:rFonts w:ascii="Times New Roman" w:hAnsi="Times New Roman"/>
                <w:bCs/>
                <w:color w:val="000000"/>
              </w:rPr>
              <w:t xml:space="preserve">z </w:t>
            </w:r>
            <w:r w:rsidRPr="00844D22">
              <w:rPr>
                <w:rFonts w:ascii="Times New Roman" w:hAnsi="Times New Roman"/>
                <w:bCs/>
                <w:color w:val="000000"/>
              </w:rPr>
              <w:t>wydawaniem zezwoleń właściwych organów dla instalacji o mocy zainstalowanej 150 kW i wyższej nie może przekroczyć dwóch lat</w:t>
            </w:r>
            <w:r w:rsidR="001A33BE">
              <w:rPr>
                <w:rFonts w:ascii="Times New Roman" w:hAnsi="Times New Roman"/>
                <w:bCs/>
                <w:color w:val="000000"/>
              </w:rPr>
              <w:t>,</w:t>
            </w:r>
            <w:r w:rsidRPr="00844D22">
              <w:rPr>
                <w:rFonts w:ascii="Times New Roman" w:hAnsi="Times New Roman"/>
                <w:bCs/>
                <w:color w:val="000000"/>
              </w:rPr>
              <w:t xml:space="preserve"> a okres ten ze względu na wystąpienie nadzwyczajnych okoliczności można przedłużyć o jeden rok. Dla instalacji o mocy zainstalowanej poniżej 150 kW, okres trwania procedur to maksymalnie rok – z możliwością przedłużenia o jeden rok w szczególnie uzasadnionych przypadkach. Podobnie w przypadku rozbudowy źródła energii, dyrektywa obliguje do zapewnienia uproszczonej i szybkiej procedury wydawania zezwoleń, odpowiednio wynoszącej rok – z możliwością przedłużenia o kolejny rok. </w:t>
            </w:r>
          </w:p>
          <w:p w14:paraId="31BE17F6" w14:textId="70E5DCD5" w:rsidR="00844D22" w:rsidRPr="00844D22" w:rsidRDefault="00844D22" w:rsidP="000D3F79">
            <w:p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Z warunku skrócenia długości trwania procedur administracyjnych, a tym samym z wliczania do ich maksymalnego wymiaru</w:t>
            </w:r>
            <w:r w:rsidR="007652AD">
              <w:rPr>
                <w:rFonts w:ascii="Times New Roman" w:hAnsi="Times New Roman"/>
                <w:bCs/>
                <w:color w:val="000000"/>
              </w:rPr>
              <w:t>,</w:t>
            </w:r>
            <w:r w:rsidRPr="00844D22">
              <w:rPr>
                <w:rFonts w:ascii="Times New Roman" w:hAnsi="Times New Roman"/>
                <w:bCs/>
                <w:color w:val="000000"/>
              </w:rPr>
              <w:t xml:space="preserve"> wyłączone są jednak obowiązki </w:t>
            </w:r>
            <w:r w:rsidR="00BC1B26">
              <w:rPr>
                <w:rFonts w:ascii="Times New Roman" w:hAnsi="Times New Roman"/>
                <w:bCs/>
                <w:color w:val="000000"/>
              </w:rPr>
              <w:t xml:space="preserve">wynikające </w:t>
            </w:r>
            <w:r w:rsidRPr="00844D22">
              <w:rPr>
                <w:rFonts w:ascii="Times New Roman" w:hAnsi="Times New Roman"/>
                <w:bCs/>
                <w:color w:val="000000"/>
              </w:rPr>
              <w:t xml:space="preserve">z prawa Unii w dziedzinie środowiska oraz dla </w:t>
            </w:r>
            <w:proofErr w:type="spellStart"/>
            <w:r w:rsidRPr="00844D22">
              <w:rPr>
                <w:rFonts w:ascii="Times New Roman" w:hAnsi="Times New Roman"/>
                <w:bCs/>
                <w:color w:val="000000"/>
              </w:rPr>
              <w:t>odwołań</w:t>
            </w:r>
            <w:proofErr w:type="spellEnd"/>
            <w:r w:rsidRPr="00844D22">
              <w:rPr>
                <w:rFonts w:ascii="Times New Roman" w:hAnsi="Times New Roman"/>
                <w:bCs/>
                <w:color w:val="000000"/>
              </w:rPr>
              <w:t xml:space="preserve"> sądowych, środków zaskarżenia i innych postępowań przed sądem lub trybunałem oraz alternatywnych mechanizmów rozstrzygania </w:t>
            </w:r>
            <w:r w:rsidRPr="00844D22">
              <w:rPr>
                <w:rFonts w:ascii="Times New Roman" w:hAnsi="Times New Roman"/>
                <w:bCs/>
                <w:color w:val="000000"/>
              </w:rPr>
              <w:lastRenderedPageBreak/>
              <w:t xml:space="preserve">sporów, w tym postępowań skargowych, pozasądowych </w:t>
            </w:r>
            <w:proofErr w:type="spellStart"/>
            <w:r w:rsidRPr="00844D22">
              <w:rPr>
                <w:rFonts w:ascii="Times New Roman" w:hAnsi="Times New Roman"/>
                <w:bCs/>
                <w:color w:val="000000"/>
              </w:rPr>
              <w:t>odwołań</w:t>
            </w:r>
            <w:proofErr w:type="spellEnd"/>
            <w:r w:rsidRPr="00844D22">
              <w:rPr>
                <w:rFonts w:ascii="Times New Roman" w:hAnsi="Times New Roman"/>
                <w:bCs/>
                <w:color w:val="000000"/>
              </w:rPr>
              <w:t xml:space="preserve"> i środków zaskarżenia; terminy te mogą być przedłużone na okres trwania takich procedur.</w:t>
            </w:r>
          </w:p>
          <w:p w14:paraId="69A94285" w14:textId="3D55D688" w:rsidR="00844D22" w:rsidRPr="00844D22" w:rsidRDefault="00844D22">
            <w:p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W warunkach polskich identyfikuje się kilka rodzajów procedur administracyjnych, które w największym stopniu wpływają na czas realizacji projektów inwestycyjnych</w:t>
            </w:r>
            <w:r w:rsidR="001A33BE">
              <w:rPr>
                <w:rFonts w:ascii="Times New Roman" w:hAnsi="Times New Roman"/>
                <w:bCs/>
                <w:color w:val="000000"/>
              </w:rPr>
              <w:t>,</w:t>
            </w:r>
            <w:r w:rsidRPr="00844D22">
              <w:rPr>
                <w:rFonts w:ascii="Times New Roman" w:hAnsi="Times New Roman"/>
                <w:bCs/>
                <w:color w:val="000000"/>
              </w:rPr>
              <w:t xml:space="preserve"> a przez to także oddziałują na rozwój </w:t>
            </w:r>
            <w:r w:rsidR="00D71DD3">
              <w:rPr>
                <w:rFonts w:ascii="Times New Roman" w:hAnsi="Times New Roman"/>
                <w:bCs/>
                <w:color w:val="000000"/>
              </w:rPr>
              <w:t>OZE</w:t>
            </w:r>
            <w:r w:rsidRPr="00844D22">
              <w:rPr>
                <w:rFonts w:ascii="Times New Roman" w:hAnsi="Times New Roman"/>
                <w:bCs/>
                <w:color w:val="000000"/>
              </w:rPr>
              <w:t>. W szczególności</w:t>
            </w:r>
            <w:r w:rsidR="007652AD">
              <w:rPr>
                <w:rFonts w:ascii="Times New Roman" w:hAnsi="Times New Roman"/>
                <w:bCs/>
                <w:color w:val="000000"/>
              </w:rPr>
              <w:t>,</w:t>
            </w:r>
            <w:r w:rsidRPr="00844D22">
              <w:rPr>
                <w:rFonts w:ascii="Times New Roman" w:hAnsi="Times New Roman"/>
                <w:bCs/>
                <w:color w:val="000000"/>
              </w:rPr>
              <w:t xml:space="preserve"> należy wskazać tu na:</w:t>
            </w:r>
          </w:p>
          <w:p w14:paraId="1D69E5C0" w14:textId="77777777"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 xml:space="preserve">wymogi środowiskowe (procedura trwająca nawet do kilkunastu miesięcy), </w:t>
            </w:r>
          </w:p>
          <w:p w14:paraId="029FACC7" w14:textId="46C1D40A"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wymogi zagospodarowania przestrzennego (w zależności od sytuacji: przyjętego lub nieprzyjętego studium uwarunkowań i kierunków zagospodarowania przestrzennego, dalej „studium” lub też miejscowego planu zagospodarowania przestrzennego</w:t>
            </w:r>
            <w:r w:rsidR="00E52EB6" w:rsidRPr="00844D22">
              <w:rPr>
                <w:rFonts w:ascii="Times New Roman" w:hAnsi="Times New Roman"/>
                <w:bCs/>
                <w:color w:val="000000"/>
              </w:rPr>
              <w:t>, dalej „MPZP”)</w:t>
            </w:r>
            <w:r w:rsidRPr="00844D22">
              <w:rPr>
                <w:rFonts w:ascii="Times New Roman" w:hAnsi="Times New Roman"/>
                <w:bCs/>
                <w:color w:val="000000"/>
              </w:rPr>
              <w:t xml:space="preserve"> – od kilku do kilkunastu miesięcy</w:t>
            </w:r>
            <w:r w:rsidR="007652AD">
              <w:rPr>
                <w:rFonts w:ascii="Times New Roman" w:hAnsi="Times New Roman"/>
                <w:bCs/>
                <w:color w:val="000000"/>
              </w:rPr>
              <w:t>,</w:t>
            </w:r>
          </w:p>
          <w:p w14:paraId="42B40058" w14:textId="175BE04B"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 xml:space="preserve">czas uzyskiwania warunków przyłączenia (w zależności od kwalifikacji do grup przyłączeniowych) – </w:t>
            </w:r>
            <w:r w:rsidR="00682403">
              <w:rPr>
                <w:rFonts w:ascii="Times New Roman" w:hAnsi="Times New Roman"/>
                <w:bCs/>
                <w:color w:val="000000"/>
              </w:rPr>
              <w:t xml:space="preserve">niekiedy </w:t>
            </w:r>
            <w:r w:rsidRPr="00844D22">
              <w:rPr>
                <w:rFonts w:ascii="Times New Roman" w:hAnsi="Times New Roman"/>
                <w:bCs/>
                <w:color w:val="000000"/>
              </w:rPr>
              <w:t>powyżej 150 dni,</w:t>
            </w:r>
          </w:p>
          <w:p w14:paraId="0E7E16B3" w14:textId="77777777" w:rsidR="00844D22" w:rsidRPr="00844D22" w:rsidRDefault="00844D22">
            <w:pPr>
              <w:numPr>
                <w:ilvl w:val="0"/>
                <w:numId w:val="90"/>
              </w:numPr>
              <w:autoSpaceDE w:val="0"/>
              <w:autoSpaceDN w:val="0"/>
              <w:adjustRightInd w:val="0"/>
              <w:spacing w:line="240" w:lineRule="auto"/>
              <w:jc w:val="both"/>
              <w:rPr>
                <w:rFonts w:ascii="Times New Roman" w:hAnsi="Times New Roman"/>
                <w:bCs/>
                <w:color w:val="000000"/>
              </w:rPr>
            </w:pPr>
            <w:r w:rsidRPr="00844D22">
              <w:rPr>
                <w:rFonts w:ascii="Times New Roman" w:hAnsi="Times New Roman"/>
                <w:bCs/>
                <w:color w:val="000000"/>
              </w:rPr>
              <w:t>czas uzyskiwania koncesji (do 6 miesięcy),</w:t>
            </w:r>
          </w:p>
          <w:p w14:paraId="16399CA2" w14:textId="77777777" w:rsidR="00844D22" w:rsidRPr="00844D22" w:rsidRDefault="00844D22" w:rsidP="000D3F79">
            <w:pPr>
              <w:numPr>
                <w:ilvl w:val="0"/>
                <w:numId w:val="90"/>
              </w:numPr>
              <w:autoSpaceDE w:val="0"/>
              <w:autoSpaceDN w:val="0"/>
              <w:adjustRightInd w:val="0"/>
              <w:spacing w:after="120" w:line="240" w:lineRule="auto"/>
              <w:jc w:val="both"/>
              <w:rPr>
                <w:rFonts w:ascii="Times New Roman" w:hAnsi="Times New Roman"/>
                <w:bCs/>
                <w:color w:val="000000"/>
              </w:rPr>
            </w:pPr>
            <w:r w:rsidRPr="00844D22">
              <w:rPr>
                <w:rFonts w:ascii="Times New Roman" w:hAnsi="Times New Roman"/>
                <w:bCs/>
                <w:color w:val="000000"/>
              </w:rPr>
              <w:t>czas wydania decyzji o warunkach zabudowy (ok. 3 miesiące).</w:t>
            </w:r>
          </w:p>
          <w:p w14:paraId="3B3AB0E5" w14:textId="099E5E9B" w:rsidR="00844D22" w:rsidRPr="00844D22" w:rsidRDefault="00B5084A" w:rsidP="000D3F79">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 xml:space="preserve">W skrajnych przypadkach </w:t>
            </w:r>
            <w:r w:rsidR="00844D22" w:rsidRPr="00844D22">
              <w:rPr>
                <w:rFonts w:ascii="Times New Roman" w:hAnsi="Times New Roman"/>
                <w:bCs/>
                <w:color w:val="000000"/>
              </w:rPr>
              <w:t>poszczególne elementy procesu inwestycyjnego przekraczają dopuszczalne przez RED</w:t>
            </w:r>
            <w:r w:rsidR="007F20F7">
              <w:rPr>
                <w:rFonts w:ascii="Times New Roman" w:hAnsi="Times New Roman"/>
                <w:bCs/>
                <w:color w:val="000000"/>
              </w:rPr>
              <w:t xml:space="preserve"> </w:t>
            </w:r>
            <w:r w:rsidR="00844D22" w:rsidRPr="00844D22">
              <w:rPr>
                <w:rFonts w:ascii="Times New Roman" w:hAnsi="Times New Roman"/>
                <w:bCs/>
                <w:color w:val="000000"/>
              </w:rPr>
              <w:t xml:space="preserve">II maksymalne okresy niezbędne do przeprowadzenia inwestycji. </w:t>
            </w:r>
          </w:p>
          <w:p w14:paraId="64366E1E" w14:textId="24008BDD" w:rsidR="00CE3B26" w:rsidRDefault="00CE3B26">
            <w:pPr>
              <w:spacing w:after="120" w:line="240" w:lineRule="auto"/>
              <w:jc w:val="both"/>
              <w:rPr>
                <w:rFonts w:ascii="Times New Roman" w:hAnsi="Times New Roman"/>
                <w:bCs/>
              </w:rPr>
            </w:pPr>
            <w:r>
              <w:rPr>
                <w:rFonts w:ascii="Times New Roman" w:hAnsi="Times New Roman"/>
                <w:bCs/>
              </w:rPr>
              <w:t xml:space="preserve">Należy też zauważyć, że status niektórych z wyżej wymienionych procedur jest różny, także w rozumieniu przepisów </w:t>
            </w:r>
            <w:r w:rsidR="002A1045">
              <w:rPr>
                <w:rFonts w:ascii="Times New Roman" w:hAnsi="Times New Roman"/>
                <w:bCs/>
              </w:rPr>
              <w:t>d</w:t>
            </w:r>
            <w:r>
              <w:rPr>
                <w:rFonts w:ascii="Times New Roman" w:hAnsi="Times New Roman"/>
                <w:bCs/>
              </w:rPr>
              <w:t>yrektywy RED</w:t>
            </w:r>
            <w:r w:rsidR="007F20F7">
              <w:rPr>
                <w:rFonts w:ascii="Times New Roman" w:hAnsi="Times New Roman"/>
                <w:bCs/>
              </w:rPr>
              <w:t xml:space="preserve"> </w:t>
            </w:r>
            <w:r>
              <w:rPr>
                <w:rFonts w:ascii="Times New Roman" w:hAnsi="Times New Roman"/>
                <w:bCs/>
              </w:rPr>
              <w:t>II. W szczególności</w:t>
            </w:r>
            <w:r w:rsidR="007652AD">
              <w:rPr>
                <w:rFonts w:ascii="Times New Roman" w:hAnsi="Times New Roman"/>
                <w:bCs/>
              </w:rPr>
              <w:t>,</w:t>
            </w:r>
            <w:r>
              <w:rPr>
                <w:rFonts w:ascii="Times New Roman" w:hAnsi="Times New Roman"/>
                <w:bCs/>
              </w:rPr>
              <w:t xml:space="preserve"> dotyczy to przepisów z obszaru ochrony środowiska, których długość trwania </w:t>
            </w:r>
            <w:r w:rsidR="00E52EB6">
              <w:rPr>
                <w:rFonts w:ascii="Times New Roman" w:hAnsi="Times New Roman"/>
                <w:bCs/>
              </w:rPr>
              <w:t xml:space="preserve">w art. 16 ust. 7 </w:t>
            </w:r>
            <w:r>
              <w:rPr>
                <w:rFonts w:ascii="Times New Roman" w:hAnsi="Times New Roman"/>
                <w:bCs/>
              </w:rPr>
              <w:t xml:space="preserve">wyłączona jest spod wymogów </w:t>
            </w:r>
            <w:r w:rsidR="00064CC9">
              <w:rPr>
                <w:rFonts w:ascii="Times New Roman" w:hAnsi="Times New Roman"/>
                <w:bCs/>
              </w:rPr>
              <w:t>RED II</w:t>
            </w:r>
            <w:r>
              <w:rPr>
                <w:rFonts w:ascii="Times New Roman" w:hAnsi="Times New Roman"/>
                <w:bCs/>
              </w:rPr>
              <w:t>. Dlatego też implementacja przepisów RED II w zakresie procedur administracyjnych ma za cel ich odpowiednie dostosowanie – bez wpływania na zmniejszenie standardów ochrony środowiska i stosownych procedur umocowanych w prawie europejskim.</w:t>
            </w:r>
          </w:p>
          <w:p w14:paraId="172B54BC" w14:textId="43E789DB" w:rsidR="00CE3B26" w:rsidRDefault="00CE3B26" w:rsidP="00CE3B26">
            <w:pPr>
              <w:spacing w:after="120" w:line="240" w:lineRule="auto"/>
              <w:jc w:val="both"/>
              <w:rPr>
                <w:rFonts w:ascii="Times New Roman" w:hAnsi="Times New Roman"/>
                <w:bCs/>
              </w:rPr>
            </w:pPr>
            <w:r>
              <w:rPr>
                <w:rFonts w:ascii="Times New Roman" w:hAnsi="Times New Roman"/>
                <w:bCs/>
              </w:rPr>
              <w:t>Podobnie odmienny status należy nadać szeroko pojętej procedurze planistycznej, która obejmuje tereny całych gmin, na których obowiązuje, wszystkich jej rodzajów aktywności oraz różnych rodzajów stref, nie tylko związanych z wytwarzaniem energii ze źródeł odnawialnych. Procedura przyjmowania dokumentów planistycznych jest zatem rodzajem procesu politycznego wymagającego konsensusu społecznego, nie jest wi</w:t>
            </w:r>
            <w:r w:rsidR="00A9352F">
              <w:rPr>
                <w:rFonts w:ascii="Times New Roman" w:hAnsi="Times New Roman"/>
                <w:bCs/>
              </w:rPr>
              <w:t>ę</w:t>
            </w:r>
            <w:r>
              <w:rPr>
                <w:rFonts w:ascii="Times New Roman" w:hAnsi="Times New Roman"/>
                <w:bCs/>
              </w:rPr>
              <w:t xml:space="preserve">c indywidualną procedurą administracyjną </w:t>
            </w:r>
            <w:r w:rsidRPr="004B458B">
              <w:rPr>
                <w:rFonts w:ascii="Times New Roman" w:hAnsi="Times New Roman"/>
                <w:bCs/>
                <w:i/>
                <w:iCs/>
              </w:rPr>
              <w:t>sensu stricte</w:t>
            </w:r>
            <w:r>
              <w:rPr>
                <w:rFonts w:ascii="Times New Roman" w:hAnsi="Times New Roman"/>
                <w:bCs/>
              </w:rPr>
              <w:t xml:space="preserve">. </w:t>
            </w:r>
          </w:p>
          <w:p w14:paraId="4FEF6EE4" w14:textId="719B70B7" w:rsidR="005C1861" w:rsidRPr="005C1861" w:rsidRDefault="005C1861" w:rsidP="005C1861">
            <w:pPr>
              <w:spacing w:line="240" w:lineRule="auto"/>
              <w:rPr>
                <w:rFonts w:ascii="Times New Roman" w:hAnsi="Times New Roman"/>
                <w:b/>
                <w:u w:val="single"/>
              </w:rPr>
            </w:pPr>
            <w:r w:rsidRPr="00F863BB">
              <w:rPr>
                <w:rFonts w:ascii="Times New Roman" w:hAnsi="Times New Roman"/>
                <w:b/>
                <w:u w:val="single"/>
              </w:rPr>
              <w:t>III.5.</w:t>
            </w:r>
            <w:r w:rsidR="00DF59D4" w:rsidRPr="00F863BB">
              <w:rPr>
                <w:rFonts w:ascii="Times New Roman" w:hAnsi="Times New Roman"/>
                <w:b/>
                <w:u w:val="single"/>
              </w:rPr>
              <w:t xml:space="preserve"> </w:t>
            </w:r>
            <w:r w:rsidR="00163601">
              <w:rPr>
                <w:rFonts w:ascii="Times New Roman" w:hAnsi="Times New Roman"/>
                <w:b/>
                <w:u w:val="single"/>
              </w:rPr>
              <w:t>Partnerski handel energią (</w:t>
            </w:r>
            <w:proofErr w:type="spellStart"/>
            <w:r w:rsidR="00163601">
              <w:rPr>
                <w:rFonts w:ascii="Times New Roman" w:hAnsi="Times New Roman"/>
                <w:b/>
                <w:u w:val="single"/>
              </w:rPr>
              <w:t>peer</w:t>
            </w:r>
            <w:proofErr w:type="spellEnd"/>
            <w:r w:rsidR="00163601">
              <w:rPr>
                <w:rFonts w:ascii="Times New Roman" w:hAnsi="Times New Roman"/>
                <w:b/>
                <w:u w:val="single"/>
              </w:rPr>
              <w:t>-to-</w:t>
            </w:r>
            <w:proofErr w:type="spellStart"/>
            <w:r w:rsidR="00163601">
              <w:rPr>
                <w:rFonts w:ascii="Times New Roman" w:hAnsi="Times New Roman"/>
                <w:b/>
                <w:u w:val="single"/>
              </w:rPr>
              <w:t>peer</w:t>
            </w:r>
            <w:proofErr w:type="spellEnd"/>
            <w:r w:rsidR="00163601">
              <w:rPr>
                <w:rFonts w:ascii="Times New Roman" w:hAnsi="Times New Roman"/>
                <w:b/>
                <w:u w:val="single"/>
              </w:rPr>
              <w:t xml:space="preserve">) </w:t>
            </w:r>
            <w:r w:rsidRPr="005C1861">
              <w:rPr>
                <w:rFonts w:ascii="Times New Roman" w:hAnsi="Times New Roman"/>
                <w:b/>
                <w:u w:val="single"/>
              </w:rPr>
              <w:t>przez prosumenta</w:t>
            </w:r>
          </w:p>
          <w:p w14:paraId="2F7E08C1" w14:textId="2C1D2D0E" w:rsidR="005C1861" w:rsidRPr="000D3F79" w:rsidRDefault="005C1861" w:rsidP="004B458B">
            <w:pPr>
              <w:spacing w:line="240" w:lineRule="auto"/>
              <w:jc w:val="both"/>
              <w:rPr>
                <w:rFonts w:ascii="Times New Roman" w:hAnsi="Times New Roman"/>
                <w:bCs/>
              </w:rPr>
            </w:pPr>
            <w:r>
              <w:rPr>
                <w:rFonts w:ascii="Times New Roman" w:hAnsi="Times New Roman"/>
                <w:bCs/>
              </w:rPr>
              <w:t xml:space="preserve">Projekt przewiduje wdrożenie </w:t>
            </w:r>
            <w:r w:rsidRPr="000D3F79">
              <w:rPr>
                <w:rFonts w:ascii="Times New Roman" w:hAnsi="Times New Roman"/>
                <w:bCs/>
              </w:rPr>
              <w:t xml:space="preserve">art. 21 pkt 2 lit. a </w:t>
            </w:r>
            <w:r w:rsidR="00E52EB6">
              <w:rPr>
                <w:rFonts w:ascii="Times New Roman" w:hAnsi="Times New Roman"/>
                <w:bCs/>
              </w:rPr>
              <w:t xml:space="preserve">dyrektywy </w:t>
            </w:r>
            <w:r w:rsidRPr="000D3F79">
              <w:rPr>
                <w:rFonts w:ascii="Times New Roman" w:hAnsi="Times New Roman"/>
                <w:bCs/>
              </w:rPr>
              <w:t xml:space="preserve">RED II, </w:t>
            </w:r>
            <w:r>
              <w:rPr>
                <w:rFonts w:ascii="Times New Roman" w:hAnsi="Times New Roman"/>
                <w:bCs/>
              </w:rPr>
              <w:t xml:space="preserve">który stanowi, że </w:t>
            </w:r>
            <w:r w:rsidRPr="000D3F79">
              <w:rPr>
                <w:rFonts w:ascii="Times New Roman" w:hAnsi="Times New Roman"/>
                <w:bCs/>
              </w:rPr>
              <w:t>państwa członkowskie zobowiązane są zapewnić, by prosumenci energii odnawialnej:</w:t>
            </w:r>
          </w:p>
          <w:p w14:paraId="1122AB7C" w14:textId="76EF6A71" w:rsidR="005C1861" w:rsidRPr="00AD085F" w:rsidRDefault="005C1861" w:rsidP="004B458B">
            <w:pPr>
              <w:pStyle w:val="Akapitzlist"/>
              <w:numPr>
                <w:ilvl w:val="0"/>
                <w:numId w:val="119"/>
              </w:numPr>
              <w:spacing w:line="240" w:lineRule="auto"/>
              <w:jc w:val="both"/>
              <w:rPr>
                <w:rFonts w:ascii="Times New Roman" w:hAnsi="Times New Roman"/>
                <w:bCs/>
                <w:lang w:val="en-US"/>
              </w:rPr>
            </w:pPr>
            <w:r w:rsidRPr="00AD085F">
              <w:rPr>
                <w:rFonts w:ascii="Times New Roman" w:hAnsi="Times New Roman"/>
                <w:bCs/>
              </w:rPr>
              <w:t>działający samodzielnie lub</w:t>
            </w:r>
          </w:p>
          <w:p w14:paraId="7A195F94" w14:textId="77777777" w:rsidR="005C1861" w:rsidRPr="00AD085F" w:rsidRDefault="005C1861" w:rsidP="004B458B">
            <w:pPr>
              <w:pStyle w:val="Akapitzlist"/>
              <w:numPr>
                <w:ilvl w:val="0"/>
                <w:numId w:val="119"/>
              </w:numPr>
              <w:spacing w:line="240" w:lineRule="auto"/>
              <w:jc w:val="both"/>
              <w:rPr>
                <w:rFonts w:ascii="Times New Roman" w:hAnsi="Times New Roman"/>
                <w:bCs/>
                <w:lang w:val="en-US"/>
              </w:rPr>
            </w:pPr>
            <w:r w:rsidRPr="00AD085F">
              <w:rPr>
                <w:rFonts w:ascii="Times New Roman" w:hAnsi="Times New Roman"/>
                <w:bCs/>
              </w:rPr>
              <w:t xml:space="preserve">za pośrednictwem koncentratorów </w:t>
            </w:r>
          </w:p>
          <w:p w14:paraId="3A749F10" w14:textId="734003BB" w:rsidR="005C1861" w:rsidRPr="000D3F79" w:rsidRDefault="005C1861" w:rsidP="004B458B">
            <w:pPr>
              <w:pStyle w:val="Akapitzlist"/>
              <w:numPr>
                <w:ilvl w:val="0"/>
                <w:numId w:val="119"/>
              </w:numPr>
              <w:spacing w:after="120" w:line="240" w:lineRule="auto"/>
              <w:jc w:val="both"/>
              <w:rPr>
                <w:rFonts w:ascii="Times New Roman" w:hAnsi="Times New Roman"/>
                <w:bCs/>
              </w:rPr>
            </w:pPr>
            <w:r w:rsidRPr="00AD085F">
              <w:rPr>
                <w:rFonts w:ascii="Times New Roman" w:hAnsi="Times New Roman"/>
                <w:bCs/>
              </w:rPr>
              <w:t>mieli prawo wytwarzać energię odnawialną, również na własne potrzeby, przechowywać i sprzedawać swoje nadwyżki produkcji odnawialnej energii elektrycznej, w tym m.in.</w:t>
            </w:r>
            <w:r w:rsidRPr="007951BE">
              <w:rPr>
                <w:rFonts w:ascii="Times New Roman" w:hAnsi="Times New Roman"/>
              </w:rPr>
              <w:t xml:space="preserve"> </w:t>
            </w:r>
            <w:r w:rsidRPr="000D3F79">
              <w:rPr>
                <w:rFonts w:ascii="Times New Roman" w:hAnsi="Times New Roman"/>
              </w:rPr>
              <w:t>poprzez ustalenia w zakresie partnerskiego handlu</w:t>
            </w:r>
            <w:r w:rsidR="00E52EB6">
              <w:rPr>
                <w:rFonts w:ascii="Times New Roman" w:hAnsi="Times New Roman"/>
              </w:rPr>
              <w:t xml:space="preserve"> </w:t>
            </w:r>
            <w:r w:rsidR="00E52EB6" w:rsidRPr="000D3F79">
              <w:rPr>
                <w:rFonts w:ascii="Times New Roman" w:hAnsi="Times New Roman"/>
              </w:rPr>
              <w:t>(</w:t>
            </w:r>
            <w:proofErr w:type="spellStart"/>
            <w:r w:rsidR="00E52EB6" w:rsidRPr="000D3F79">
              <w:rPr>
                <w:rFonts w:ascii="Times New Roman" w:hAnsi="Times New Roman"/>
              </w:rPr>
              <w:t>peer</w:t>
            </w:r>
            <w:proofErr w:type="spellEnd"/>
            <w:r w:rsidR="00E52EB6" w:rsidRPr="000D3F79">
              <w:rPr>
                <w:rFonts w:ascii="Times New Roman" w:hAnsi="Times New Roman"/>
              </w:rPr>
              <w:t>-to-</w:t>
            </w:r>
            <w:proofErr w:type="spellStart"/>
            <w:r w:rsidR="00E52EB6" w:rsidRPr="000D3F79">
              <w:rPr>
                <w:rFonts w:ascii="Times New Roman" w:hAnsi="Times New Roman"/>
              </w:rPr>
              <w:t>peer</w:t>
            </w:r>
            <w:proofErr w:type="spellEnd"/>
            <w:r w:rsidR="00E52EB6" w:rsidRPr="000D3F79">
              <w:rPr>
                <w:rFonts w:ascii="Times New Roman" w:hAnsi="Times New Roman"/>
              </w:rPr>
              <w:t>)</w:t>
            </w:r>
            <w:r w:rsidRPr="000D3F79">
              <w:rPr>
                <w:rFonts w:ascii="Times New Roman" w:hAnsi="Times New Roman"/>
              </w:rPr>
              <w:t>.</w:t>
            </w:r>
          </w:p>
          <w:p w14:paraId="2706EAAD" w14:textId="052FE091" w:rsidR="005C1861" w:rsidRPr="001855D0" w:rsidRDefault="005C1861" w:rsidP="004B458B">
            <w:pPr>
              <w:spacing w:line="240" w:lineRule="auto"/>
              <w:jc w:val="both"/>
              <w:rPr>
                <w:rFonts w:ascii="Times New Roman" w:hAnsi="Times New Roman"/>
                <w:bCs/>
              </w:rPr>
            </w:pPr>
            <w:r w:rsidRPr="001855D0">
              <w:rPr>
                <w:rFonts w:ascii="Times New Roman" w:hAnsi="Times New Roman"/>
                <w:bCs/>
              </w:rPr>
              <w:t>Zgodnie z art. 2 pkt 18 RED II</w:t>
            </w:r>
            <w:r w:rsidR="007652AD">
              <w:rPr>
                <w:rFonts w:ascii="Times New Roman" w:hAnsi="Times New Roman"/>
                <w:bCs/>
              </w:rPr>
              <w:t>,</w:t>
            </w:r>
            <w:r w:rsidRPr="001855D0">
              <w:rPr>
                <w:rFonts w:ascii="Times New Roman" w:hAnsi="Times New Roman"/>
                <w:bCs/>
              </w:rPr>
              <w:t xml:space="preserve"> partnerski handel </w:t>
            </w:r>
            <w:r w:rsidR="00163601" w:rsidRPr="001855D0">
              <w:rPr>
                <w:rFonts w:ascii="Times New Roman" w:hAnsi="Times New Roman"/>
                <w:bCs/>
              </w:rPr>
              <w:t>(</w:t>
            </w:r>
            <w:proofErr w:type="spellStart"/>
            <w:r w:rsidR="00163601" w:rsidRPr="001855D0">
              <w:rPr>
                <w:rFonts w:ascii="Times New Roman" w:hAnsi="Times New Roman"/>
                <w:bCs/>
              </w:rPr>
              <w:t>peer</w:t>
            </w:r>
            <w:proofErr w:type="spellEnd"/>
            <w:r w:rsidR="00163601" w:rsidRPr="001855D0">
              <w:rPr>
                <w:rFonts w:ascii="Times New Roman" w:hAnsi="Times New Roman"/>
                <w:bCs/>
              </w:rPr>
              <w:t>-to-</w:t>
            </w:r>
            <w:proofErr w:type="spellStart"/>
            <w:r w:rsidR="00163601" w:rsidRPr="001855D0">
              <w:rPr>
                <w:rFonts w:ascii="Times New Roman" w:hAnsi="Times New Roman"/>
                <w:bCs/>
              </w:rPr>
              <w:t>peer</w:t>
            </w:r>
            <w:proofErr w:type="spellEnd"/>
            <w:r w:rsidR="00163601" w:rsidRPr="001855D0">
              <w:rPr>
                <w:rFonts w:ascii="Times New Roman" w:hAnsi="Times New Roman"/>
                <w:bCs/>
              </w:rPr>
              <w:t xml:space="preserve">) </w:t>
            </w:r>
            <w:r w:rsidRPr="001855D0">
              <w:rPr>
                <w:rFonts w:ascii="Times New Roman" w:hAnsi="Times New Roman"/>
                <w:bCs/>
              </w:rPr>
              <w:t>energią odnawialną oznacza jej sprzedaż pomiędzy uczestnikami rynku:</w:t>
            </w:r>
          </w:p>
          <w:p w14:paraId="4F65BBB9" w14:textId="18C6CB62" w:rsidR="005C1861" w:rsidRPr="000D3F79" w:rsidRDefault="005C1861" w:rsidP="004B458B">
            <w:pPr>
              <w:pStyle w:val="Akapitzlist"/>
              <w:numPr>
                <w:ilvl w:val="0"/>
                <w:numId w:val="119"/>
              </w:numPr>
              <w:spacing w:line="240" w:lineRule="auto"/>
              <w:ind w:left="769" w:hanging="425"/>
              <w:jc w:val="both"/>
              <w:rPr>
                <w:rFonts w:ascii="Times New Roman" w:hAnsi="Times New Roman"/>
                <w:bCs/>
              </w:rPr>
            </w:pPr>
            <w:r w:rsidRPr="00AD085F">
              <w:rPr>
                <w:rFonts w:ascii="Times New Roman" w:hAnsi="Times New Roman"/>
                <w:bCs/>
              </w:rPr>
              <w:t>na podstawie umowy zawierającej z góry określone warunki dotyczące zautomatyzowanego wykonania transakcji i płatności za nią</w:t>
            </w:r>
            <w:r w:rsidR="007652AD">
              <w:rPr>
                <w:rFonts w:ascii="Times New Roman" w:hAnsi="Times New Roman"/>
                <w:bCs/>
              </w:rPr>
              <w:t>,</w:t>
            </w:r>
            <w:r w:rsidRPr="00AD085F">
              <w:rPr>
                <w:rFonts w:ascii="Times New Roman" w:hAnsi="Times New Roman"/>
                <w:bCs/>
              </w:rPr>
              <w:t xml:space="preserve"> bezpośrednio między uczestnikami rynku albo </w:t>
            </w:r>
          </w:p>
          <w:p w14:paraId="0CDF8FFC" w14:textId="1D7524A1" w:rsidR="005C1861" w:rsidRDefault="005C1861" w:rsidP="004B458B">
            <w:pPr>
              <w:pStyle w:val="Akapitzlist"/>
              <w:numPr>
                <w:ilvl w:val="0"/>
                <w:numId w:val="119"/>
              </w:numPr>
              <w:spacing w:after="120" w:line="240" w:lineRule="auto"/>
              <w:ind w:left="769" w:hanging="425"/>
              <w:jc w:val="both"/>
              <w:rPr>
                <w:rFonts w:ascii="Times New Roman" w:hAnsi="Times New Roman"/>
                <w:bCs/>
              </w:rPr>
            </w:pPr>
            <w:r w:rsidRPr="00AD085F">
              <w:rPr>
                <w:rFonts w:ascii="Times New Roman" w:hAnsi="Times New Roman"/>
                <w:bCs/>
              </w:rPr>
              <w:t>pośrednio</w:t>
            </w:r>
            <w:r w:rsidR="007652AD">
              <w:rPr>
                <w:rFonts w:ascii="Times New Roman" w:hAnsi="Times New Roman"/>
                <w:bCs/>
              </w:rPr>
              <w:t>,</w:t>
            </w:r>
            <w:r w:rsidRPr="00AD085F">
              <w:rPr>
                <w:rFonts w:ascii="Times New Roman" w:hAnsi="Times New Roman"/>
                <w:bCs/>
              </w:rPr>
              <w:t xml:space="preserve"> poprzez certyfikowanego uczestnika rynku będącego stroną trzecią, takiego jak koncentrator.</w:t>
            </w:r>
          </w:p>
          <w:p w14:paraId="567173F5" w14:textId="320AE68B" w:rsidR="005C1861" w:rsidRDefault="005C1861" w:rsidP="005C1861">
            <w:pPr>
              <w:spacing w:after="120" w:line="240" w:lineRule="auto"/>
              <w:jc w:val="both"/>
              <w:rPr>
                <w:rFonts w:ascii="Times New Roman" w:hAnsi="Times New Roman"/>
                <w:bCs/>
              </w:rPr>
            </w:pPr>
            <w:r w:rsidRPr="00C14358">
              <w:rPr>
                <w:rFonts w:ascii="Times New Roman" w:hAnsi="Times New Roman"/>
                <w:bCs/>
              </w:rPr>
              <w:t>Handel energią</w:t>
            </w:r>
            <w:r w:rsidR="00163601">
              <w:rPr>
                <w:rFonts w:ascii="Times New Roman" w:hAnsi="Times New Roman"/>
                <w:bCs/>
              </w:rPr>
              <w:t>:</w:t>
            </w:r>
            <w:r w:rsidRPr="00C14358">
              <w:rPr>
                <w:rFonts w:ascii="Times New Roman" w:hAnsi="Times New Roman"/>
                <w:bCs/>
              </w:rPr>
              <w:t xml:space="preserve"> </w:t>
            </w:r>
            <w:proofErr w:type="spellStart"/>
            <w:r w:rsidRPr="00C14358">
              <w:rPr>
                <w:rFonts w:ascii="Times New Roman" w:hAnsi="Times New Roman"/>
                <w:bCs/>
              </w:rPr>
              <w:t>peer</w:t>
            </w:r>
            <w:proofErr w:type="spellEnd"/>
            <w:r w:rsidRPr="00C14358">
              <w:rPr>
                <w:rFonts w:ascii="Times New Roman" w:hAnsi="Times New Roman"/>
                <w:bCs/>
              </w:rPr>
              <w:t>-to-</w:t>
            </w:r>
            <w:proofErr w:type="spellStart"/>
            <w:r w:rsidRPr="00C14358">
              <w:rPr>
                <w:rFonts w:ascii="Times New Roman" w:hAnsi="Times New Roman"/>
                <w:bCs/>
              </w:rPr>
              <w:t>peer</w:t>
            </w:r>
            <w:proofErr w:type="spellEnd"/>
            <w:r w:rsidRPr="00C14358">
              <w:rPr>
                <w:rFonts w:ascii="Times New Roman" w:hAnsi="Times New Roman"/>
                <w:bCs/>
              </w:rPr>
              <w:t xml:space="preserve"> (</w:t>
            </w:r>
            <w:r>
              <w:rPr>
                <w:rFonts w:ascii="Times New Roman" w:hAnsi="Times New Roman"/>
                <w:bCs/>
              </w:rPr>
              <w:t>zwany dalej „</w:t>
            </w:r>
            <w:r w:rsidRPr="00C14358">
              <w:rPr>
                <w:rFonts w:ascii="Times New Roman" w:hAnsi="Times New Roman"/>
                <w:bCs/>
              </w:rPr>
              <w:t>P2P</w:t>
            </w:r>
            <w:r>
              <w:rPr>
                <w:rFonts w:ascii="Times New Roman" w:hAnsi="Times New Roman"/>
                <w:bCs/>
              </w:rPr>
              <w:t>”</w:t>
            </w:r>
            <w:r w:rsidRPr="00C14358">
              <w:rPr>
                <w:rFonts w:ascii="Times New Roman" w:hAnsi="Times New Roman"/>
                <w:bCs/>
              </w:rPr>
              <w:t xml:space="preserve">) to nowatorski paradygmat działania systemu elektroenergetycznego, </w:t>
            </w:r>
            <w:r w:rsidRPr="004242A7">
              <w:rPr>
                <w:rFonts w:ascii="Times New Roman" w:hAnsi="Times New Roman"/>
                <w:bCs/>
              </w:rPr>
              <w:t>który przeczy tradycyjnym hierarchiom opartym na porozumieniach wertykalnych między dostawcami energii na poziomie detalicznym a odbiorcami (konsumentami).</w:t>
            </w:r>
            <w:r>
              <w:t xml:space="preserve"> </w:t>
            </w:r>
            <w:r w:rsidRPr="004242A7">
              <w:rPr>
                <w:rFonts w:ascii="Times New Roman" w:hAnsi="Times New Roman"/>
                <w:bCs/>
              </w:rPr>
              <w:t>Partnerski handel energią to przede wszystkim horyzontalny sposób dokonywania wymiany energii między dwoma lub więcej tak zwanymi „rówieśnikami”, będącymi prosumentami</w:t>
            </w:r>
            <w:r>
              <w:rPr>
                <w:rFonts w:ascii="Times New Roman" w:hAnsi="Times New Roman"/>
                <w:bCs/>
              </w:rPr>
              <w:t xml:space="preserve"> energii</w:t>
            </w:r>
            <w:r w:rsidRPr="004242A7">
              <w:rPr>
                <w:rFonts w:ascii="Times New Roman" w:hAnsi="Times New Roman"/>
                <w:bCs/>
              </w:rPr>
              <w:t xml:space="preserve"> </w:t>
            </w:r>
            <w:r>
              <w:rPr>
                <w:rFonts w:ascii="Times New Roman" w:hAnsi="Times New Roman"/>
                <w:bCs/>
              </w:rPr>
              <w:t xml:space="preserve">odnawialnej </w:t>
            </w:r>
            <w:r w:rsidRPr="004242A7">
              <w:rPr>
                <w:rFonts w:ascii="Times New Roman" w:hAnsi="Times New Roman"/>
                <w:bCs/>
              </w:rPr>
              <w:t>w rozumieniu właściwych przepisów, którzy zarówno konsumują, jak i wytwarzają</w:t>
            </w:r>
            <w:r>
              <w:rPr>
                <w:rFonts w:ascii="Times New Roman" w:hAnsi="Times New Roman"/>
                <w:bCs/>
              </w:rPr>
              <w:t xml:space="preserve"> tę</w:t>
            </w:r>
            <w:r w:rsidRPr="004242A7">
              <w:rPr>
                <w:rFonts w:ascii="Times New Roman" w:hAnsi="Times New Roman"/>
                <w:bCs/>
              </w:rPr>
              <w:t xml:space="preserve"> energię.</w:t>
            </w:r>
            <w:r>
              <w:rPr>
                <w:rFonts w:ascii="Times New Roman" w:hAnsi="Times New Roman"/>
                <w:bCs/>
              </w:rPr>
              <w:t xml:space="preserve"> </w:t>
            </w:r>
            <w:r w:rsidRPr="00C14358">
              <w:rPr>
                <w:rFonts w:ascii="Times New Roman" w:hAnsi="Times New Roman"/>
                <w:bCs/>
              </w:rPr>
              <w:t>Liczba projektów w tym obszarze w ostatnim czasie znacznie wzrosła na całym świecie.</w:t>
            </w:r>
            <w:r>
              <w:rPr>
                <w:rFonts w:ascii="Times New Roman" w:hAnsi="Times New Roman"/>
                <w:bCs/>
              </w:rPr>
              <w:t xml:space="preserve"> </w:t>
            </w:r>
            <w:r w:rsidRPr="000778E9">
              <w:rPr>
                <w:rFonts w:ascii="Times New Roman" w:hAnsi="Times New Roman"/>
                <w:bCs/>
              </w:rPr>
              <w:t xml:space="preserve">Handel P2P energią elektryczną różni się </w:t>
            </w:r>
            <w:r>
              <w:rPr>
                <w:rFonts w:ascii="Times New Roman" w:hAnsi="Times New Roman"/>
                <w:bCs/>
              </w:rPr>
              <w:t xml:space="preserve">jednak </w:t>
            </w:r>
            <w:r w:rsidRPr="000778E9">
              <w:rPr>
                <w:rFonts w:ascii="Times New Roman" w:hAnsi="Times New Roman"/>
                <w:bCs/>
              </w:rPr>
              <w:t>od ustalonych relacji na rynkach energii elektrycznej, które tradycyjnie m</w:t>
            </w:r>
            <w:r>
              <w:rPr>
                <w:rFonts w:ascii="Times New Roman" w:hAnsi="Times New Roman"/>
                <w:bCs/>
              </w:rPr>
              <w:t>ają</w:t>
            </w:r>
            <w:r w:rsidRPr="000778E9">
              <w:rPr>
                <w:rFonts w:ascii="Times New Roman" w:hAnsi="Times New Roman"/>
                <w:bCs/>
              </w:rPr>
              <w:t xml:space="preserve"> miejsce między przedsiębiorstwami użyteczności publicznej</w:t>
            </w:r>
            <w:r>
              <w:rPr>
                <w:rFonts w:ascii="Times New Roman" w:hAnsi="Times New Roman"/>
                <w:bCs/>
              </w:rPr>
              <w:t>,</w:t>
            </w:r>
            <w:r w:rsidRPr="000778E9">
              <w:rPr>
                <w:rFonts w:ascii="Times New Roman" w:hAnsi="Times New Roman"/>
                <w:bCs/>
              </w:rPr>
              <w:t xml:space="preserve"> a biernymi odbiorcami końcowymi. Z tego powodu nie odpowiadają one obecnemu stanowi prawa</w:t>
            </w:r>
            <w:r w:rsidR="00163601">
              <w:rPr>
                <w:rFonts w:ascii="Times New Roman" w:hAnsi="Times New Roman"/>
                <w:bCs/>
              </w:rPr>
              <w:t> </w:t>
            </w:r>
            <w:r w:rsidRPr="000778E9">
              <w:rPr>
                <w:rFonts w:ascii="Times New Roman" w:hAnsi="Times New Roman"/>
                <w:bCs/>
              </w:rPr>
              <w:t>i regulacji energetycznych.</w:t>
            </w:r>
            <w:r w:rsidR="001855D0">
              <w:rPr>
                <w:rFonts w:ascii="Times New Roman" w:hAnsi="Times New Roman"/>
                <w:bCs/>
              </w:rPr>
              <w:t xml:space="preserve"> </w:t>
            </w:r>
            <w:r>
              <w:rPr>
                <w:rFonts w:ascii="Times New Roman" w:hAnsi="Times New Roman"/>
                <w:bCs/>
              </w:rPr>
              <w:t>Mając na uwadze powyższe</w:t>
            </w:r>
            <w:r w:rsidR="007652AD">
              <w:rPr>
                <w:rFonts w:ascii="Times New Roman" w:hAnsi="Times New Roman"/>
                <w:bCs/>
              </w:rPr>
              <w:t>,</w:t>
            </w:r>
            <w:r>
              <w:rPr>
                <w:rFonts w:ascii="Times New Roman" w:hAnsi="Times New Roman"/>
                <w:bCs/>
              </w:rPr>
              <w:t xml:space="preserve"> </w:t>
            </w:r>
            <w:r w:rsidRPr="00C14358">
              <w:rPr>
                <w:rFonts w:ascii="Times New Roman" w:hAnsi="Times New Roman"/>
                <w:bCs/>
              </w:rPr>
              <w:t xml:space="preserve">konieczne jest zaprojektowanie niezbędnych sieci komunikacyjnych i kontrolnych, które mogłyby umożliwić </w:t>
            </w:r>
            <w:r>
              <w:rPr>
                <w:rFonts w:ascii="Times New Roman" w:hAnsi="Times New Roman"/>
                <w:bCs/>
              </w:rPr>
              <w:t xml:space="preserve">handel </w:t>
            </w:r>
            <w:r w:rsidRPr="00C14358">
              <w:rPr>
                <w:rFonts w:ascii="Times New Roman" w:hAnsi="Times New Roman"/>
                <w:bCs/>
              </w:rPr>
              <w:t xml:space="preserve">P2P </w:t>
            </w:r>
            <w:r>
              <w:rPr>
                <w:rFonts w:ascii="Times New Roman" w:hAnsi="Times New Roman"/>
                <w:bCs/>
              </w:rPr>
              <w:t xml:space="preserve">pomiędzy indywidualnymi podmiotami w </w:t>
            </w:r>
            <w:r w:rsidRPr="00C14358">
              <w:rPr>
                <w:rFonts w:ascii="Times New Roman" w:hAnsi="Times New Roman"/>
                <w:bCs/>
              </w:rPr>
              <w:t xml:space="preserve">lokalnych </w:t>
            </w:r>
            <w:proofErr w:type="spellStart"/>
            <w:r w:rsidRPr="00C14358">
              <w:rPr>
                <w:rFonts w:ascii="Times New Roman" w:hAnsi="Times New Roman"/>
                <w:bCs/>
              </w:rPr>
              <w:t>mikrosieciach</w:t>
            </w:r>
            <w:proofErr w:type="spellEnd"/>
            <w:r w:rsidRPr="00C14358">
              <w:rPr>
                <w:rFonts w:ascii="Times New Roman" w:hAnsi="Times New Roman"/>
                <w:bCs/>
              </w:rPr>
              <w:t xml:space="preserve"> lub między nimi.</w:t>
            </w:r>
          </w:p>
          <w:p w14:paraId="47BD9C56" w14:textId="0F77C478" w:rsidR="007611E4" w:rsidRDefault="005C1861" w:rsidP="001855D0">
            <w:pPr>
              <w:spacing w:after="120" w:line="240" w:lineRule="auto"/>
              <w:jc w:val="both"/>
              <w:rPr>
                <w:rFonts w:ascii="Times New Roman" w:hAnsi="Times New Roman"/>
                <w:bCs/>
              </w:rPr>
            </w:pPr>
            <w:r>
              <w:rPr>
                <w:rFonts w:ascii="Times New Roman" w:hAnsi="Times New Roman"/>
                <w:bCs/>
              </w:rPr>
              <w:t>Handel ten obsługiwany jest przez</w:t>
            </w:r>
            <w:r w:rsidRPr="003B78FC">
              <w:rPr>
                <w:rFonts w:ascii="Times New Roman" w:hAnsi="Times New Roman"/>
                <w:bCs/>
              </w:rPr>
              <w:t xml:space="preserve"> </w:t>
            </w:r>
            <w:r>
              <w:rPr>
                <w:rFonts w:ascii="Times New Roman" w:hAnsi="Times New Roman"/>
                <w:bCs/>
              </w:rPr>
              <w:t xml:space="preserve">różnego rodzaju </w:t>
            </w:r>
            <w:r w:rsidR="00163601">
              <w:rPr>
                <w:rFonts w:ascii="Times New Roman" w:hAnsi="Times New Roman"/>
                <w:bCs/>
              </w:rPr>
              <w:t>(</w:t>
            </w:r>
            <w:r w:rsidRPr="003B78FC">
              <w:rPr>
                <w:rFonts w:ascii="Times New Roman" w:hAnsi="Times New Roman"/>
                <w:bCs/>
              </w:rPr>
              <w:t>krajowe lub regionalne</w:t>
            </w:r>
            <w:r w:rsidR="00163601">
              <w:rPr>
                <w:rFonts w:ascii="Times New Roman" w:hAnsi="Times New Roman"/>
                <w:bCs/>
              </w:rPr>
              <w:t>)</w:t>
            </w:r>
            <w:r w:rsidRPr="003B78FC">
              <w:rPr>
                <w:rFonts w:ascii="Times New Roman" w:hAnsi="Times New Roman"/>
                <w:bCs/>
              </w:rPr>
              <w:t xml:space="preserve"> platformy internetowe P2P</w:t>
            </w:r>
            <w:r>
              <w:rPr>
                <w:rFonts w:ascii="Times New Roman" w:hAnsi="Times New Roman"/>
                <w:bCs/>
              </w:rPr>
              <w:t xml:space="preserve">, jak również przy użyciu technologii </w:t>
            </w:r>
            <w:proofErr w:type="spellStart"/>
            <w:r w:rsidRPr="00591BC3">
              <w:rPr>
                <w:rFonts w:ascii="Times New Roman" w:hAnsi="Times New Roman"/>
                <w:bCs/>
                <w:i/>
                <w:iCs/>
              </w:rPr>
              <w:t>blockchain</w:t>
            </w:r>
            <w:proofErr w:type="spellEnd"/>
            <w:r w:rsidR="00901E4B">
              <w:rPr>
                <w:rFonts w:ascii="Times New Roman" w:hAnsi="Times New Roman"/>
                <w:bCs/>
                <w:i/>
                <w:iCs/>
              </w:rPr>
              <w:t xml:space="preserve"> </w:t>
            </w:r>
            <w:r w:rsidRPr="00591BC3">
              <w:rPr>
                <w:rFonts w:ascii="Times New Roman" w:hAnsi="Times New Roman"/>
                <w:bCs/>
              </w:rPr>
              <w:t>czy chmur obliczeniowych</w:t>
            </w:r>
            <w:r>
              <w:rPr>
                <w:rFonts w:ascii="Times New Roman" w:hAnsi="Times New Roman"/>
                <w:bCs/>
              </w:rPr>
              <w:t>. Rola tego typu platform i technologii zbliżona jest do</w:t>
            </w:r>
            <w:r w:rsidRPr="003B78FC">
              <w:rPr>
                <w:rFonts w:ascii="Times New Roman" w:hAnsi="Times New Roman"/>
                <w:bCs/>
              </w:rPr>
              <w:t xml:space="preserve"> roli </w:t>
            </w:r>
            <w:r>
              <w:rPr>
                <w:rFonts w:ascii="Times New Roman" w:hAnsi="Times New Roman"/>
                <w:bCs/>
              </w:rPr>
              <w:t>sprzedawcy</w:t>
            </w:r>
            <w:r w:rsidRPr="003B78FC">
              <w:rPr>
                <w:rFonts w:ascii="Times New Roman" w:hAnsi="Times New Roman"/>
                <w:bCs/>
              </w:rPr>
              <w:t xml:space="preserve"> w sektor</w:t>
            </w:r>
            <w:r>
              <w:rPr>
                <w:rFonts w:ascii="Times New Roman" w:hAnsi="Times New Roman"/>
                <w:bCs/>
              </w:rPr>
              <w:t>ze</w:t>
            </w:r>
            <w:r w:rsidRPr="003B78FC">
              <w:rPr>
                <w:rFonts w:ascii="Times New Roman" w:hAnsi="Times New Roman"/>
                <w:bCs/>
              </w:rPr>
              <w:t xml:space="preserve"> energii elektrycznej.</w:t>
            </w:r>
          </w:p>
          <w:p w14:paraId="187566C8" w14:textId="64886800" w:rsidR="001855D0" w:rsidRPr="001855D0" w:rsidRDefault="007611E4" w:rsidP="007611E4">
            <w:pPr>
              <w:spacing w:after="120" w:line="240" w:lineRule="auto"/>
              <w:jc w:val="both"/>
              <w:rPr>
                <w:rFonts w:ascii="Times New Roman" w:hAnsi="Times New Roman"/>
                <w:bCs/>
              </w:rPr>
            </w:pPr>
            <w:r>
              <w:rPr>
                <w:rFonts w:ascii="Times New Roman" w:hAnsi="Times New Roman"/>
                <w:bCs/>
              </w:rPr>
              <w:t xml:space="preserve">Mając na uwadze model funkcjonowania handlu P2P, </w:t>
            </w:r>
            <w:r w:rsidRPr="007611E4">
              <w:rPr>
                <w:rFonts w:ascii="Times New Roman" w:hAnsi="Times New Roman"/>
                <w:bCs/>
              </w:rPr>
              <w:t xml:space="preserve">dyrektywa RED II dopuszcza w tym zakresie zarówno rozwiązania polegające na „czystym” handlu </w:t>
            </w:r>
            <w:proofErr w:type="spellStart"/>
            <w:r w:rsidRPr="007611E4">
              <w:rPr>
                <w:rFonts w:ascii="Times New Roman" w:hAnsi="Times New Roman"/>
                <w:bCs/>
              </w:rPr>
              <w:t>peer</w:t>
            </w:r>
            <w:proofErr w:type="spellEnd"/>
            <w:r w:rsidRPr="007611E4">
              <w:rPr>
                <w:rFonts w:ascii="Times New Roman" w:hAnsi="Times New Roman"/>
                <w:bCs/>
              </w:rPr>
              <w:t>-to-</w:t>
            </w:r>
            <w:proofErr w:type="spellStart"/>
            <w:r w:rsidRPr="007611E4">
              <w:rPr>
                <w:rFonts w:ascii="Times New Roman" w:hAnsi="Times New Roman"/>
                <w:bCs/>
              </w:rPr>
              <w:t>peer</w:t>
            </w:r>
            <w:proofErr w:type="spellEnd"/>
            <w:r w:rsidRPr="007611E4">
              <w:rPr>
                <w:rFonts w:ascii="Times New Roman" w:hAnsi="Times New Roman"/>
                <w:bCs/>
              </w:rPr>
              <w:t xml:space="preserve"> bezpośrednio pomiędzy uczestnikami, jak i</w:t>
            </w:r>
            <w:r>
              <w:rPr>
                <w:rFonts w:ascii="Times New Roman" w:hAnsi="Times New Roman"/>
                <w:bCs/>
              </w:rPr>
              <w:t xml:space="preserve"> </w:t>
            </w:r>
            <w:r w:rsidRPr="007611E4">
              <w:rPr>
                <w:rFonts w:ascii="Times New Roman" w:hAnsi="Times New Roman"/>
                <w:bCs/>
              </w:rPr>
              <w:t>rozwiązania polegające na włączeniu „pośrednika”</w:t>
            </w:r>
            <w:r>
              <w:rPr>
                <w:rFonts w:ascii="Times New Roman" w:hAnsi="Times New Roman"/>
                <w:bCs/>
              </w:rPr>
              <w:t>.</w:t>
            </w:r>
          </w:p>
          <w:p w14:paraId="6AF4D853" w14:textId="7EA7398D" w:rsidR="001855D0" w:rsidRDefault="007611E4" w:rsidP="001855D0">
            <w:pPr>
              <w:spacing w:after="120" w:line="240" w:lineRule="auto"/>
              <w:jc w:val="both"/>
              <w:rPr>
                <w:rFonts w:ascii="Times New Roman" w:hAnsi="Times New Roman"/>
                <w:bCs/>
              </w:rPr>
            </w:pPr>
            <w:r>
              <w:rPr>
                <w:rFonts w:ascii="Times New Roman" w:hAnsi="Times New Roman"/>
                <w:bCs/>
              </w:rPr>
              <w:lastRenderedPageBreak/>
              <w:t xml:space="preserve">Zgodnie z </w:t>
            </w:r>
            <w:r w:rsidR="00195853">
              <w:rPr>
                <w:rFonts w:ascii="Times New Roman" w:hAnsi="Times New Roman"/>
                <w:bCs/>
              </w:rPr>
              <w:t xml:space="preserve">przepisami </w:t>
            </w:r>
            <w:r w:rsidR="0003657C" w:rsidRPr="0003657C">
              <w:rPr>
                <w:rFonts w:ascii="Times New Roman" w:hAnsi="Times New Roman"/>
                <w:bCs/>
              </w:rPr>
              <w:t>Dyrektyw</w:t>
            </w:r>
            <w:r w:rsidR="0003657C">
              <w:rPr>
                <w:rFonts w:ascii="Times New Roman" w:hAnsi="Times New Roman"/>
                <w:bCs/>
              </w:rPr>
              <w:t>y</w:t>
            </w:r>
            <w:r w:rsidR="0003657C" w:rsidRPr="0003657C">
              <w:rPr>
                <w:rFonts w:ascii="Times New Roman" w:hAnsi="Times New Roman"/>
                <w:bCs/>
              </w:rPr>
              <w:t xml:space="preserve"> Parlamentu Europejskiego i Rady (UE) 2019/944 z dnia 5 czerwca 2019 r. w sprawie wspólnych zasad rynku wewnętrznego energii elektrycznej</w:t>
            </w:r>
            <w:r w:rsidR="001855D0" w:rsidRPr="001855D0">
              <w:rPr>
                <w:rFonts w:ascii="Times New Roman" w:hAnsi="Times New Roman"/>
                <w:bCs/>
              </w:rPr>
              <w:t xml:space="preserve"> </w:t>
            </w:r>
            <w:bookmarkStart w:id="3" w:name="_Hlk91676386"/>
            <w:r w:rsidR="0003657C">
              <w:rPr>
                <w:rFonts w:ascii="Times New Roman" w:hAnsi="Times New Roman"/>
                <w:bCs/>
              </w:rPr>
              <w:t>(</w:t>
            </w:r>
            <w:r w:rsidR="0003657C" w:rsidRPr="0003657C">
              <w:rPr>
                <w:rFonts w:ascii="Times New Roman" w:hAnsi="Times New Roman"/>
                <w:bCs/>
              </w:rPr>
              <w:t>Dz.U. L 158 z 14.6.2019, str. 125—199</w:t>
            </w:r>
            <w:r w:rsidR="0003657C">
              <w:rPr>
                <w:rFonts w:ascii="Times New Roman" w:hAnsi="Times New Roman"/>
                <w:bCs/>
              </w:rPr>
              <w:t>)</w:t>
            </w:r>
            <w:r w:rsidR="0003657C" w:rsidRPr="0003657C">
              <w:rPr>
                <w:rFonts w:ascii="Times New Roman" w:hAnsi="Times New Roman"/>
                <w:bCs/>
              </w:rPr>
              <w:t xml:space="preserve"> </w:t>
            </w:r>
            <w:bookmarkEnd w:id="3"/>
            <w:r w:rsidR="001855D0" w:rsidRPr="001855D0">
              <w:rPr>
                <w:rFonts w:ascii="Times New Roman" w:hAnsi="Times New Roman"/>
                <w:bCs/>
              </w:rPr>
              <w:t>oraz</w:t>
            </w:r>
            <w:r w:rsidR="001855D0">
              <w:rPr>
                <w:rFonts w:ascii="Times New Roman" w:hAnsi="Times New Roman"/>
                <w:bCs/>
              </w:rPr>
              <w:t xml:space="preserve"> procedowanego projektu</w:t>
            </w:r>
            <w:r w:rsidR="001855D0" w:rsidRPr="001855D0">
              <w:rPr>
                <w:rFonts w:ascii="Times New Roman" w:hAnsi="Times New Roman"/>
                <w:bCs/>
              </w:rPr>
              <w:t xml:space="preserve"> ustawy o zmianie ustawy – Prawo energetyczne oraz ustawy o odnawialnych źródłach energii, </w:t>
            </w:r>
            <w:r w:rsidR="003B02BA">
              <w:rPr>
                <w:rFonts w:ascii="Times New Roman" w:hAnsi="Times New Roman"/>
                <w:bCs/>
              </w:rPr>
              <w:t xml:space="preserve">wdrażającego elementy pakietu Czysta Energia dla Wszystkich Europejczyków, </w:t>
            </w:r>
            <w:r w:rsidR="001855D0" w:rsidRPr="001855D0">
              <w:rPr>
                <w:rFonts w:ascii="Times New Roman" w:hAnsi="Times New Roman"/>
                <w:bCs/>
              </w:rPr>
              <w:t>można przyjąć, że rolę operatora platformy P2P</w:t>
            </w:r>
            <w:r w:rsidR="001855D0">
              <w:rPr>
                <w:rFonts w:ascii="Times New Roman" w:hAnsi="Times New Roman"/>
                <w:bCs/>
              </w:rPr>
              <w:t xml:space="preserve"> może pełnić </w:t>
            </w:r>
            <w:r w:rsidR="00383A37">
              <w:rPr>
                <w:rFonts w:ascii="Times New Roman" w:hAnsi="Times New Roman"/>
                <w:bCs/>
              </w:rPr>
              <w:t xml:space="preserve">m.in. </w:t>
            </w:r>
            <w:r w:rsidR="001855D0">
              <w:rPr>
                <w:rFonts w:ascii="Times New Roman" w:hAnsi="Times New Roman"/>
                <w:bCs/>
              </w:rPr>
              <w:t>agregator</w:t>
            </w:r>
            <w:r w:rsidR="001855D0" w:rsidRPr="001855D0">
              <w:rPr>
                <w:rFonts w:ascii="Times New Roman" w:hAnsi="Times New Roman"/>
                <w:bCs/>
              </w:rPr>
              <w:t xml:space="preserve">. </w:t>
            </w:r>
            <w:r w:rsidR="009E1AF3">
              <w:rPr>
                <w:rFonts w:ascii="Times New Roman" w:hAnsi="Times New Roman"/>
                <w:bCs/>
              </w:rPr>
              <w:t>Ma to mieć miejsce chociażby w</w:t>
            </w:r>
            <w:r w:rsidR="001855D0" w:rsidRPr="001855D0">
              <w:rPr>
                <w:rFonts w:ascii="Times New Roman" w:hAnsi="Times New Roman"/>
                <w:bCs/>
              </w:rPr>
              <w:t xml:space="preserve"> kontekście zagwarantowania ochrony odbiorców m.in. przed przerwami w dostawach energii zakupionej na platformach</w:t>
            </w:r>
            <w:r w:rsidR="007652AD">
              <w:rPr>
                <w:rFonts w:ascii="Times New Roman" w:hAnsi="Times New Roman"/>
                <w:bCs/>
              </w:rPr>
              <w:t>.</w:t>
            </w:r>
            <w:r w:rsidR="001855D0" w:rsidRPr="001855D0">
              <w:rPr>
                <w:rFonts w:ascii="Times New Roman" w:hAnsi="Times New Roman"/>
                <w:bCs/>
              </w:rPr>
              <w:t xml:space="preserve"> </w:t>
            </w:r>
          </w:p>
          <w:p w14:paraId="2797A1FB" w14:textId="0A6CEF1D" w:rsidR="00AC1CE2" w:rsidRPr="001855D0" w:rsidRDefault="00AC1CE2" w:rsidP="001855D0">
            <w:pPr>
              <w:spacing w:after="120" w:line="240" w:lineRule="auto"/>
              <w:jc w:val="both"/>
              <w:rPr>
                <w:rFonts w:ascii="Times New Roman" w:hAnsi="Times New Roman"/>
                <w:bCs/>
              </w:rPr>
            </w:pPr>
            <w:r>
              <w:rPr>
                <w:rFonts w:ascii="Times New Roman" w:hAnsi="Times New Roman"/>
                <w:bCs/>
              </w:rPr>
              <w:t xml:space="preserve">W kontekście </w:t>
            </w:r>
            <w:r w:rsidR="00DE44AD">
              <w:rPr>
                <w:rFonts w:ascii="Times New Roman" w:hAnsi="Times New Roman"/>
                <w:bCs/>
              </w:rPr>
              <w:t xml:space="preserve">wprowadzonych </w:t>
            </w:r>
            <w:r>
              <w:rPr>
                <w:rFonts w:ascii="Times New Roman" w:hAnsi="Times New Roman"/>
                <w:bCs/>
              </w:rPr>
              <w:t xml:space="preserve">rozwiązań </w:t>
            </w:r>
            <w:r w:rsidRPr="00AC1CE2">
              <w:rPr>
                <w:rFonts w:ascii="Times New Roman" w:hAnsi="Times New Roman"/>
                <w:bCs/>
              </w:rPr>
              <w:t xml:space="preserve">dla prosumentów wchodzących na rynek po 2021 r., </w:t>
            </w:r>
            <w:r>
              <w:rPr>
                <w:rFonts w:ascii="Times New Roman" w:hAnsi="Times New Roman"/>
                <w:bCs/>
              </w:rPr>
              <w:t xml:space="preserve">należy stwierdzić, że </w:t>
            </w:r>
            <w:r w:rsidR="003B02BA">
              <w:rPr>
                <w:rFonts w:ascii="Times New Roman" w:hAnsi="Times New Roman"/>
                <w:bCs/>
              </w:rPr>
              <w:t xml:space="preserve">nowe warunki funkcjonowania prosumentów </w:t>
            </w:r>
            <w:r w:rsidRPr="00AC1CE2">
              <w:rPr>
                <w:rFonts w:ascii="Times New Roman" w:hAnsi="Times New Roman"/>
                <w:bCs/>
              </w:rPr>
              <w:t>zasadniczo powinn</w:t>
            </w:r>
            <w:r w:rsidR="003B02BA">
              <w:rPr>
                <w:rFonts w:ascii="Times New Roman" w:hAnsi="Times New Roman"/>
                <w:bCs/>
              </w:rPr>
              <w:t>y</w:t>
            </w:r>
            <w:r w:rsidRPr="00AC1CE2">
              <w:rPr>
                <w:rFonts w:ascii="Times New Roman" w:hAnsi="Times New Roman"/>
                <w:bCs/>
              </w:rPr>
              <w:t xml:space="preserve"> stymulować rozwój P2P, jako alternatywy dla sprzedaży energii na rzecz sprzedawcy zobowiązanego, z uwagi na możliwość uzyskania lepszej ceny za sprzedawane nadwyżki</w:t>
            </w:r>
            <w:r>
              <w:rPr>
                <w:rFonts w:ascii="Times New Roman" w:hAnsi="Times New Roman"/>
                <w:bCs/>
              </w:rPr>
              <w:t xml:space="preserve"> energii</w:t>
            </w:r>
            <w:r w:rsidR="004B3302">
              <w:rPr>
                <w:rFonts w:ascii="Times New Roman" w:hAnsi="Times New Roman"/>
                <w:bCs/>
              </w:rPr>
              <w:t xml:space="preserve"> od innego sprzedawcy lub agregatora</w:t>
            </w:r>
            <w:r>
              <w:rPr>
                <w:rFonts w:ascii="Times New Roman" w:hAnsi="Times New Roman"/>
                <w:bCs/>
              </w:rPr>
              <w:t>. O</w:t>
            </w:r>
            <w:r w:rsidRPr="00AC1CE2">
              <w:rPr>
                <w:rFonts w:ascii="Times New Roman" w:hAnsi="Times New Roman"/>
                <w:bCs/>
              </w:rPr>
              <w:t>becność prosumentów na rynku jako sprzedawców bezpośrednich ma być podstawą dla działania agregatorów oferujących zakup nadwyżek energii elektrycznej.</w:t>
            </w:r>
          </w:p>
          <w:p w14:paraId="7D5B8A71" w14:textId="606FC295" w:rsidR="001C7BC1" w:rsidRPr="00591BC3" w:rsidRDefault="00BA1459">
            <w:pPr>
              <w:spacing w:line="240" w:lineRule="auto"/>
              <w:jc w:val="both"/>
              <w:rPr>
                <w:rFonts w:ascii="Times New Roman" w:hAnsi="Times New Roman"/>
                <w:b/>
                <w:u w:val="single"/>
              </w:rPr>
            </w:pPr>
            <w:r>
              <w:rPr>
                <w:rFonts w:ascii="Times New Roman" w:hAnsi="Times New Roman"/>
                <w:b/>
                <w:u w:val="single"/>
              </w:rPr>
              <w:t xml:space="preserve">III.6. </w:t>
            </w:r>
            <w:r w:rsidR="00B87822" w:rsidRPr="00591BC3">
              <w:rPr>
                <w:rFonts w:ascii="Times New Roman" w:hAnsi="Times New Roman"/>
                <w:b/>
                <w:u w:val="single"/>
              </w:rPr>
              <w:t>Odwołanie do krajowego planu na rzecz energii i klimatu na lata 2021-2030</w:t>
            </w:r>
          </w:p>
          <w:p w14:paraId="50872472" w14:textId="428BDD9D" w:rsidR="00CF5EB0" w:rsidRDefault="004304FA" w:rsidP="000D3F79">
            <w:pPr>
              <w:spacing w:after="120" w:line="240" w:lineRule="auto"/>
              <w:jc w:val="both"/>
              <w:rPr>
                <w:rFonts w:ascii="Times New Roman" w:hAnsi="Times New Roman"/>
              </w:rPr>
            </w:pPr>
            <w:r w:rsidRPr="000D3F79">
              <w:rPr>
                <w:rFonts w:ascii="Times New Roman" w:hAnsi="Times New Roman"/>
                <w:bCs/>
              </w:rPr>
              <w:t xml:space="preserve">Zgodnie z art. 3 RED II </w:t>
            </w:r>
            <w:r w:rsidRPr="007951BE">
              <w:rPr>
                <w:rFonts w:ascii="Times New Roman" w:hAnsi="Times New Roman"/>
                <w:bCs/>
              </w:rPr>
              <w:t xml:space="preserve">państwa członkowskie zapewniają </w:t>
            </w:r>
            <w:r w:rsidR="003B02BA">
              <w:rPr>
                <w:rFonts w:ascii="Times New Roman" w:hAnsi="Times New Roman"/>
                <w:bCs/>
              </w:rPr>
              <w:t xml:space="preserve">do </w:t>
            </w:r>
            <w:r w:rsidRPr="000D3F79">
              <w:rPr>
                <w:rFonts w:ascii="Times New Roman" w:hAnsi="Times New Roman"/>
                <w:bCs/>
              </w:rPr>
              <w:t>2030 r</w:t>
            </w:r>
            <w:r w:rsidR="003B02BA">
              <w:rPr>
                <w:rFonts w:ascii="Times New Roman" w:hAnsi="Times New Roman"/>
                <w:bCs/>
              </w:rPr>
              <w:t>oku</w:t>
            </w:r>
            <w:r w:rsidRPr="000D3F79">
              <w:rPr>
                <w:rFonts w:ascii="Times New Roman" w:hAnsi="Times New Roman"/>
                <w:bCs/>
              </w:rPr>
              <w:t xml:space="preserve"> co najmniej 32</w:t>
            </w:r>
            <w:r w:rsidRPr="007951BE">
              <w:rPr>
                <w:rFonts w:ascii="Times New Roman" w:hAnsi="Times New Roman"/>
                <w:bCs/>
              </w:rPr>
              <w:t>%</w:t>
            </w:r>
            <w:r w:rsidRPr="000D3F79">
              <w:rPr>
                <w:rFonts w:ascii="Times New Roman" w:hAnsi="Times New Roman"/>
                <w:bCs/>
              </w:rPr>
              <w:t xml:space="preserve"> udział </w:t>
            </w:r>
            <w:hyperlink r:id="rId12" w:history="1">
              <w:r w:rsidRPr="000D3F79">
                <w:rPr>
                  <w:rStyle w:val="Hipercze"/>
                  <w:rFonts w:ascii="Times New Roman" w:hAnsi="Times New Roman"/>
                  <w:bCs/>
                  <w:color w:val="auto"/>
                  <w:u w:val="none"/>
                </w:rPr>
                <w:t>energii ze źródeł odnawialnych</w:t>
              </w:r>
            </w:hyperlink>
            <w:r w:rsidRPr="000D3F79">
              <w:rPr>
                <w:rFonts w:ascii="Times New Roman" w:hAnsi="Times New Roman"/>
                <w:bCs/>
              </w:rPr>
              <w:t xml:space="preserve"> w całkowitym zużyciu energii</w:t>
            </w:r>
            <w:r w:rsidRPr="007951BE">
              <w:rPr>
                <w:rFonts w:ascii="Times New Roman" w:hAnsi="Times New Roman"/>
                <w:bCs/>
              </w:rPr>
              <w:t xml:space="preserve"> UE. </w:t>
            </w:r>
            <w:r w:rsidRPr="00A028A6">
              <w:rPr>
                <w:rFonts w:ascii="Times New Roman" w:hAnsi="Times New Roman"/>
                <w:bCs/>
              </w:rPr>
              <w:t>Cel dotyczący energii ze źródeł odnawialnych obowiązujący na całym obszarze UE jest niezbędny do prowadzenia dalszych inwestycji w tym sektorze. Jednak nie zostanie on</w:t>
            </w:r>
            <w:r w:rsidRPr="00DE3D31">
              <w:rPr>
                <w:rFonts w:ascii="Times New Roman" w:hAnsi="Times New Roman"/>
                <w:bCs/>
              </w:rPr>
              <w:t xml:space="preserve"> narzucony w formie celów krajowych za pośrednictwem przepisów UE. Pozostawiono państwom członkowskim swobodę w zakresie przekształcenia systemu energetycznego w sposób najlepiej dostosowany do krajowych preferencji i okoliczności. Osiągnięcie powyższego celu </w:t>
            </w:r>
            <w:r w:rsidRPr="00447C42">
              <w:rPr>
                <w:rFonts w:ascii="Times New Roman" w:hAnsi="Times New Roman"/>
                <w:bCs/>
              </w:rPr>
              <w:t xml:space="preserve">jest realizowane poprzez nowy system zarządzania oparty na </w:t>
            </w:r>
            <w:r w:rsidR="00CF5EB0" w:rsidRPr="000D3F79">
              <w:rPr>
                <w:rFonts w:ascii="Times New Roman" w:hAnsi="Times New Roman"/>
              </w:rPr>
              <w:t>Krajowym planie na rzecz energii i klimatu na lata 2021-2030</w:t>
            </w:r>
            <w:r w:rsidR="00CF5EB0">
              <w:rPr>
                <w:rFonts w:ascii="Times New Roman" w:hAnsi="Times New Roman"/>
              </w:rPr>
              <w:t>, dostępny na stronie</w:t>
            </w:r>
            <w:r w:rsidR="00CF5EB0" w:rsidRPr="000D3F79">
              <w:rPr>
                <w:rFonts w:ascii="Times New Roman" w:hAnsi="Times New Roman"/>
              </w:rPr>
              <w:t xml:space="preserve">: </w:t>
            </w:r>
            <w:hyperlink r:id="rId13" w:history="1">
              <w:r w:rsidR="00CF5EB0" w:rsidRPr="000D3F79">
                <w:rPr>
                  <w:rStyle w:val="Hipercze"/>
                  <w:rFonts w:ascii="Times New Roman" w:hAnsi="Times New Roman"/>
                  <w:color w:val="auto"/>
                </w:rPr>
                <w:t>https://www.gov.pl/web/klimat/krajowy-plan-na-rzecz-energii-i-klimatu</w:t>
              </w:r>
            </w:hyperlink>
            <w:r w:rsidR="00CF5EB0" w:rsidRPr="000D3F79">
              <w:rPr>
                <w:rFonts w:ascii="Times New Roman" w:hAnsi="Times New Roman"/>
              </w:rPr>
              <w:t>.</w:t>
            </w:r>
            <w:r w:rsidR="00B87822">
              <w:rPr>
                <w:rFonts w:ascii="Times New Roman" w:hAnsi="Times New Roman"/>
              </w:rPr>
              <w:t xml:space="preserve"> Należy podkreślić, że w perspektywie do roku 2020 r., realizacja celu odbywała się na podstawie Krajowego Planu Działań w zakresie energii ze źródeł odnawialnych.</w:t>
            </w:r>
          </w:p>
          <w:p w14:paraId="661DD7E7" w14:textId="1D5A30BE" w:rsidR="00FB7C95" w:rsidRDefault="00F863BB">
            <w:pPr>
              <w:spacing w:line="240" w:lineRule="auto"/>
              <w:jc w:val="both"/>
              <w:rPr>
                <w:rFonts w:ascii="Times New Roman" w:hAnsi="Times New Roman"/>
                <w:b/>
                <w:u w:val="single"/>
              </w:rPr>
            </w:pPr>
            <w:r>
              <w:rPr>
                <w:rFonts w:ascii="Times New Roman" w:hAnsi="Times New Roman"/>
                <w:b/>
                <w:u w:val="single"/>
              </w:rPr>
              <w:t xml:space="preserve">IV. </w:t>
            </w:r>
            <w:r w:rsidR="00A974A8">
              <w:rPr>
                <w:rFonts w:ascii="Times New Roman" w:hAnsi="Times New Roman"/>
                <w:b/>
                <w:u w:val="single"/>
              </w:rPr>
              <w:t>S</w:t>
            </w:r>
            <w:r w:rsidR="00FB7C95" w:rsidRPr="000D3F79">
              <w:rPr>
                <w:rFonts w:ascii="Times New Roman" w:hAnsi="Times New Roman"/>
                <w:b/>
                <w:u w:val="single"/>
              </w:rPr>
              <w:t xml:space="preserve">ystem wsparcia </w:t>
            </w:r>
            <w:r w:rsidR="00CA724B" w:rsidRPr="000D3F79">
              <w:rPr>
                <w:rFonts w:ascii="Times New Roman" w:hAnsi="Times New Roman"/>
                <w:b/>
                <w:u w:val="single"/>
              </w:rPr>
              <w:t>umożliwiając</w:t>
            </w:r>
            <w:r w:rsidR="009C7B64">
              <w:rPr>
                <w:rFonts w:ascii="Times New Roman" w:hAnsi="Times New Roman"/>
                <w:b/>
                <w:u w:val="single"/>
              </w:rPr>
              <w:t>y</w:t>
            </w:r>
            <w:r w:rsidR="00CA724B" w:rsidRPr="000D3F79">
              <w:rPr>
                <w:rFonts w:ascii="Times New Roman" w:hAnsi="Times New Roman"/>
                <w:b/>
                <w:u w:val="single"/>
              </w:rPr>
              <w:t xml:space="preserve"> </w:t>
            </w:r>
            <w:r w:rsidR="00FB7C95" w:rsidRPr="000D3F79">
              <w:rPr>
                <w:rFonts w:ascii="Times New Roman" w:hAnsi="Times New Roman"/>
                <w:b/>
                <w:u w:val="single"/>
              </w:rPr>
              <w:t>modernizacj</w:t>
            </w:r>
            <w:r w:rsidR="00CA724B" w:rsidRPr="000D3F79">
              <w:rPr>
                <w:rFonts w:ascii="Times New Roman" w:hAnsi="Times New Roman"/>
                <w:b/>
                <w:u w:val="single"/>
              </w:rPr>
              <w:t>ę</w:t>
            </w:r>
            <w:r w:rsidR="00FB7C95" w:rsidRPr="000D3F79">
              <w:rPr>
                <w:rFonts w:ascii="Times New Roman" w:hAnsi="Times New Roman"/>
                <w:b/>
                <w:u w:val="single"/>
              </w:rPr>
              <w:t xml:space="preserve"> </w:t>
            </w:r>
            <w:r w:rsidR="00CA724B" w:rsidRPr="000D3F79">
              <w:rPr>
                <w:rFonts w:ascii="Times New Roman" w:hAnsi="Times New Roman"/>
                <w:b/>
                <w:u w:val="single"/>
              </w:rPr>
              <w:t>instalacji OZE</w:t>
            </w:r>
          </w:p>
          <w:p w14:paraId="2C2DD09D" w14:textId="25E688B0" w:rsidR="007951BE" w:rsidRPr="000D3F79" w:rsidRDefault="007951BE" w:rsidP="000D3F79">
            <w:pPr>
              <w:spacing w:after="120" w:line="240" w:lineRule="auto"/>
              <w:jc w:val="both"/>
              <w:rPr>
                <w:rFonts w:ascii="Times New Roman" w:hAnsi="Times New Roman"/>
                <w:bCs/>
              </w:rPr>
            </w:pPr>
            <w:r w:rsidRPr="000D3F79">
              <w:rPr>
                <w:rFonts w:ascii="Times New Roman" w:hAnsi="Times New Roman"/>
                <w:bCs/>
              </w:rPr>
              <w:t xml:space="preserve">Obecnie obowiązują rozwiązania </w:t>
            </w:r>
            <w:r w:rsidR="004E7BA9" w:rsidRPr="000D3F79">
              <w:rPr>
                <w:rFonts w:ascii="Times New Roman" w:hAnsi="Times New Roman"/>
                <w:bCs/>
              </w:rPr>
              <w:t>dedykowane modernizacji instalacji OZE</w:t>
            </w:r>
            <w:r w:rsidR="009C7B64" w:rsidRPr="000D3F79">
              <w:rPr>
                <w:rFonts w:ascii="Times New Roman" w:hAnsi="Times New Roman"/>
                <w:bCs/>
              </w:rPr>
              <w:t xml:space="preserve"> </w:t>
            </w:r>
            <w:r w:rsidRPr="000D3F79">
              <w:rPr>
                <w:rFonts w:ascii="Times New Roman" w:hAnsi="Times New Roman"/>
                <w:bCs/>
              </w:rPr>
              <w:t xml:space="preserve">w postaci definicji </w:t>
            </w:r>
            <w:r w:rsidR="00F471A3">
              <w:rPr>
                <w:rFonts w:ascii="Times New Roman" w:hAnsi="Times New Roman"/>
                <w:bCs/>
              </w:rPr>
              <w:t>„</w:t>
            </w:r>
            <w:r w:rsidRPr="000D3F79">
              <w:rPr>
                <w:rFonts w:ascii="Times New Roman" w:hAnsi="Times New Roman"/>
                <w:bCs/>
              </w:rPr>
              <w:t>modernizacji</w:t>
            </w:r>
            <w:r w:rsidR="00F471A3">
              <w:rPr>
                <w:rFonts w:ascii="Times New Roman" w:hAnsi="Times New Roman"/>
                <w:bCs/>
              </w:rPr>
              <w:t>”</w:t>
            </w:r>
            <w:r w:rsidRPr="000D3F79">
              <w:rPr>
                <w:rFonts w:ascii="Times New Roman" w:hAnsi="Times New Roman"/>
                <w:bCs/>
              </w:rPr>
              <w:t xml:space="preserve">, rozumianej jako wykonanie robót polegających na odtworzeniu stanu pierwotnego lub zmianie parametrów użytkowych lub technicznych instalacji OZE. Przepisy krajowe umożliwiają przeprowadzenie modernizacji w </w:t>
            </w:r>
            <w:r w:rsidR="009C7B64" w:rsidRPr="000D3F79">
              <w:rPr>
                <w:rFonts w:ascii="Times New Roman" w:hAnsi="Times New Roman"/>
                <w:bCs/>
              </w:rPr>
              <w:t xml:space="preserve">trakcie trwania </w:t>
            </w:r>
            <w:r w:rsidRPr="000D3F79">
              <w:rPr>
                <w:rFonts w:ascii="Times New Roman" w:hAnsi="Times New Roman"/>
                <w:bCs/>
              </w:rPr>
              <w:t>okres</w:t>
            </w:r>
            <w:r w:rsidR="009C7B64" w:rsidRPr="000D3F79">
              <w:rPr>
                <w:rFonts w:ascii="Times New Roman" w:hAnsi="Times New Roman"/>
                <w:bCs/>
              </w:rPr>
              <w:t>u</w:t>
            </w:r>
            <w:r w:rsidRPr="000D3F79">
              <w:rPr>
                <w:rFonts w:ascii="Times New Roman" w:hAnsi="Times New Roman"/>
                <w:bCs/>
              </w:rPr>
              <w:t xml:space="preserve"> wsparcia, </w:t>
            </w:r>
            <w:r w:rsidR="009C7B64" w:rsidRPr="000D3F79">
              <w:rPr>
                <w:rFonts w:ascii="Times New Roman" w:hAnsi="Times New Roman"/>
                <w:bCs/>
              </w:rPr>
              <w:t>nie powodując przy tym</w:t>
            </w:r>
            <w:r w:rsidRPr="000D3F79">
              <w:rPr>
                <w:rFonts w:ascii="Times New Roman" w:hAnsi="Times New Roman"/>
                <w:bCs/>
              </w:rPr>
              <w:t xml:space="preserve"> utraty prawa do wsparcia</w:t>
            </w:r>
            <w:r w:rsidR="009C7B64" w:rsidRPr="000D3F79">
              <w:rPr>
                <w:rFonts w:ascii="Times New Roman" w:hAnsi="Times New Roman"/>
                <w:bCs/>
              </w:rPr>
              <w:t xml:space="preserve"> ani zmiany jego długości</w:t>
            </w:r>
            <w:r w:rsidRPr="000D3F79">
              <w:rPr>
                <w:rFonts w:ascii="Times New Roman" w:hAnsi="Times New Roman"/>
                <w:bCs/>
              </w:rPr>
              <w:t>.</w:t>
            </w:r>
            <w:r w:rsidR="00D62360">
              <w:rPr>
                <w:rFonts w:ascii="Times New Roman" w:hAnsi="Times New Roman"/>
                <w:bCs/>
              </w:rPr>
              <w:t xml:space="preserve"> </w:t>
            </w:r>
            <w:r w:rsidRPr="000D3F79">
              <w:rPr>
                <w:rFonts w:ascii="Times New Roman" w:hAnsi="Times New Roman"/>
                <w:bCs/>
              </w:rPr>
              <w:t xml:space="preserve">Natomiast w przypadku gdy modernizacja obejmie instalację OZE, która nie otrzymuje już żadnego wsparcia (w postaci świadectw pochodzenia, w systemie aukcyjnym </w:t>
            </w:r>
            <w:r w:rsidR="004A7551">
              <w:rPr>
                <w:rFonts w:ascii="Times New Roman" w:hAnsi="Times New Roman"/>
                <w:bCs/>
              </w:rPr>
              <w:t>albo</w:t>
            </w:r>
            <w:r w:rsidR="004A7551" w:rsidRPr="000D3F79">
              <w:rPr>
                <w:rFonts w:ascii="Times New Roman" w:hAnsi="Times New Roman"/>
                <w:bCs/>
              </w:rPr>
              <w:t xml:space="preserve"> </w:t>
            </w:r>
            <w:r w:rsidRPr="000D3F79">
              <w:rPr>
                <w:rFonts w:ascii="Times New Roman" w:hAnsi="Times New Roman"/>
                <w:bCs/>
              </w:rPr>
              <w:t>taryfy gwarantowanej), możliwe jest wystawienie takiej instalacji do aukcji po spełnieniu określonych warunków. Tymi warunkami są: (i) odtworzenie w wyniku modernizacji stanu pierwotnego instalacji OZE lub zmiana w wyniku modernizacji parametrów użytkowych lub technicznych, jeżeli w jego rezultacie nastąpił przyrost łącznej mocy zainstalowanej elektrycznej lub wzrost ilości wytwarzanej energii elektrycznej; (ii) poniesione i udokumentowane nakłady na modernizację takiej instalacji wyniosły nie mniej niż 40% kosztów kwalifikowanych wybudowania nowej referencyjnej instalacji. Katalog kosztów kwalifikowanych ma zostać określony w rozporządzeniu ministra energii.</w:t>
            </w:r>
          </w:p>
          <w:p w14:paraId="7268567F" w14:textId="0AC1A5C2" w:rsidR="00032785" w:rsidRDefault="004E7BA9" w:rsidP="000D3F79">
            <w:pPr>
              <w:spacing w:after="120" w:line="240" w:lineRule="auto"/>
              <w:jc w:val="both"/>
              <w:rPr>
                <w:rFonts w:ascii="Times New Roman" w:hAnsi="Times New Roman"/>
                <w:iCs/>
              </w:rPr>
            </w:pPr>
            <w:r w:rsidRPr="000D3F79">
              <w:rPr>
                <w:rFonts w:ascii="Times New Roman" w:hAnsi="Times New Roman"/>
                <w:bCs/>
              </w:rPr>
              <w:t>Co ważne,</w:t>
            </w:r>
            <w:r w:rsidR="00032785" w:rsidRPr="000D3F79">
              <w:rPr>
                <w:rFonts w:ascii="Times New Roman" w:hAnsi="Times New Roman"/>
                <w:bCs/>
              </w:rPr>
              <w:t xml:space="preserve"> opisywane mechanizmy zostały wyłączone z notyfikacji</w:t>
            </w:r>
            <w:r w:rsidR="00032785" w:rsidRPr="00AF0426">
              <w:rPr>
                <w:rFonts w:ascii="Times New Roman" w:hAnsi="Times New Roman"/>
              </w:rPr>
              <w:t xml:space="preserve"> </w:t>
            </w:r>
            <w:r w:rsidR="003B02BA">
              <w:rPr>
                <w:rFonts w:ascii="Times New Roman" w:hAnsi="Times New Roman"/>
              </w:rPr>
              <w:t>p</w:t>
            </w:r>
            <w:r w:rsidR="00032785" w:rsidRPr="00AF0426">
              <w:rPr>
                <w:rFonts w:ascii="Times New Roman" w:hAnsi="Times New Roman"/>
              </w:rPr>
              <w:t>rogramu</w:t>
            </w:r>
            <w:r w:rsidR="00032785">
              <w:rPr>
                <w:rFonts w:ascii="Times New Roman" w:hAnsi="Times New Roman"/>
              </w:rPr>
              <w:t xml:space="preserve"> pomocowego w postaci aukcyjnego systemu wsparcia dla wytwórców energii z odnawialnych źródeł, zatwierdzonego decyzją Komisji Europejskiej z dnia 13 grudnia 2017 r. </w:t>
            </w:r>
            <w:r w:rsidR="00032785" w:rsidRPr="005A4F52">
              <w:rPr>
                <w:rFonts w:ascii="Times New Roman" w:hAnsi="Times New Roman"/>
                <w:i/>
              </w:rPr>
              <w:t>SA.43697 (2015/N) – Polsk</w:t>
            </w:r>
            <w:r w:rsidR="00032785">
              <w:rPr>
                <w:rFonts w:ascii="Times New Roman" w:hAnsi="Times New Roman"/>
                <w:i/>
              </w:rPr>
              <w:t>a - aukcyjny</w:t>
            </w:r>
            <w:r w:rsidR="00032785" w:rsidRPr="005A4F52">
              <w:rPr>
                <w:rFonts w:ascii="Times New Roman" w:hAnsi="Times New Roman"/>
                <w:i/>
              </w:rPr>
              <w:t xml:space="preserve"> system wsparcia dla odnawialnych źródeł energii i odbiorców energochłonnych</w:t>
            </w:r>
            <w:r w:rsidR="00032785">
              <w:rPr>
                <w:rFonts w:ascii="Times New Roman" w:hAnsi="Times New Roman"/>
                <w:i/>
              </w:rPr>
              <w:t xml:space="preserve"> </w:t>
            </w:r>
            <w:r w:rsidR="00032785" w:rsidRPr="000D3F79">
              <w:rPr>
                <w:rFonts w:ascii="Times New Roman" w:hAnsi="Times New Roman"/>
                <w:iCs/>
              </w:rPr>
              <w:t>i dotychczas nie uzyska</w:t>
            </w:r>
            <w:r w:rsidR="00032785">
              <w:rPr>
                <w:rFonts w:ascii="Times New Roman" w:hAnsi="Times New Roman"/>
                <w:iCs/>
              </w:rPr>
              <w:t>ł</w:t>
            </w:r>
            <w:r w:rsidR="00032785" w:rsidRPr="000D3F79">
              <w:rPr>
                <w:rFonts w:ascii="Times New Roman" w:hAnsi="Times New Roman"/>
                <w:iCs/>
              </w:rPr>
              <w:t xml:space="preserve">y odrębnej decyzji </w:t>
            </w:r>
            <w:r w:rsidR="00032785" w:rsidRPr="00032785">
              <w:rPr>
                <w:rFonts w:ascii="Times New Roman" w:hAnsi="Times New Roman"/>
                <w:iCs/>
              </w:rPr>
              <w:t>notyfikacyjnej</w:t>
            </w:r>
            <w:r w:rsidR="00032785" w:rsidRPr="000D3F79">
              <w:rPr>
                <w:rFonts w:ascii="Times New Roman" w:hAnsi="Times New Roman"/>
                <w:iCs/>
              </w:rPr>
              <w:t>.</w:t>
            </w:r>
          </w:p>
          <w:p w14:paraId="758E03E6" w14:textId="1D2979A6" w:rsidR="00032785" w:rsidRDefault="00032785" w:rsidP="000D3F79">
            <w:pPr>
              <w:spacing w:after="120" w:line="240" w:lineRule="auto"/>
              <w:jc w:val="both"/>
              <w:rPr>
                <w:rFonts w:ascii="Times New Roman" w:hAnsi="Times New Roman"/>
                <w:i/>
              </w:rPr>
            </w:pPr>
            <w:r>
              <w:rPr>
                <w:rFonts w:ascii="Times New Roman" w:hAnsi="Times New Roman"/>
                <w:iCs/>
              </w:rPr>
              <w:t xml:space="preserve">Dlatego ważne </w:t>
            </w:r>
            <w:r w:rsidR="009029D2">
              <w:rPr>
                <w:rFonts w:ascii="Times New Roman" w:hAnsi="Times New Roman"/>
                <w:iCs/>
              </w:rPr>
              <w:t>jest,</w:t>
            </w:r>
            <w:r>
              <w:rPr>
                <w:rFonts w:ascii="Times New Roman" w:hAnsi="Times New Roman"/>
                <w:iCs/>
              </w:rPr>
              <w:t xml:space="preserve"> aby zaproponować</w:t>
            </w:r>
            <w:r>
              <w:rPr>
                <w:rFonts w:ascii="Times New Roman" w:hAnsi="Times New Roman"/>
                <w:i/>
              </w:rPr>
              <w:t xml:space="preserve"> </w:t>
            </w:r>
            <w:r w:rsidRPr="000D3F79">
              <w:rPr>
                <w:rFonts w:ascii="Times New Roman" w:hAnsi="Times New Roman"/>
                <w:iCs/>
              </w:rPr>
              <w:t xml:space="preserve">nowy system dla </w:t>
            </w:r>
            <w:r w:rsidR="004E7BA9" w:rsidRPr="000D3F79">
              <w:rPr>
                <w:rFonts w:ascii="Times New Roman" w:hAnsi="Times New Roman"/>
                <w:iCs/>
              </w:rPr>
              <w:t>instalacji</w:t>
            </w:r>
            <w:r w:rsidRPr="000D3F79">
              <w:rPr>
                <w:rFonts w:ascii="Times New Roman" w:hAnsi="Times New Roman"/>
                <w:iCs/>
              </w:rPr>
              <w:t xml:space="preserve"> modernizowanych </w:t>
            </w:r>
            <w:r w:rsidR="009029D2">
              <w:rPr>
                <w:rFonts w:ascii="Times New Roman" w:hAnsi="Times New Roman"/>
                <w:iCs/>
              </w:rPr>
              <w:t>–</w:t>
            </w:r>
            <w:r w:rsidRPr="000D3F79">
              <w:rPr>
                <w:rFonts w:ascii="Times New Roman" w:hAnsi="Times New Roman"/>
                <w:iCs/>
              </w:rPr>
              <w:t xml:space="preserve"> uzupełniający obowiązujące i notyfikowane systemy wsparcia. Odpowiednie przepisy sprawią, że art. 4 </w:t>
            </w:r>
            <w:r w:rsidR="009C7B64">
              <w:rPr>
                <w:rFonts w:ascii="Times New Roman" w:hAnsi="Times New Roman"/>
                <w:iCs/>
              </w:rPr>
              <w:t xml:space="preserve">RED II </w:t>
            </w:r>
            <w:r w:rsidRPr="000D3F79">
              <w:rPr>
                <w:rFonts w:ascii="Times New Roman" w:hAnsi="Times New Roman"/>
                <w:iCs/>
              </w:rPr>
              <w:t>będzie całkowicie wdrożony.</w:t>
            </w:r>
          </w:p>
          <w:p w14:paraId="5036AF55" w14:textId="795E02B4" w:rsidR="009202A6" w:rsidRDefault="00FB7C95" w:rsidP="000D3F79">
            <w:pPr>
              <w:spacing w:after="120" w:line="240" w:lineRule="auto"/>
              <w:jc w:val="both"/>
              <w:rPr>
                <w:rFonts w:ascii="Times New Roman" w:hAnsi="Times New Roman"/>
                <w:bCs/>
              </w:rPr>
            </w:pPr>
            <w:r w:rsidRPr="00FB7C95">
              <w:rPr>
                <w:rFonts w:ascii="Times New Roman" w:hAnsi="Times New Roman"/>
                <w:bCs/>
              </w:rPr>
              <w:t xml:space="preserve">Podstawowy wiek użyteczności instalacji OZE liczony jest jako pierwsze 15 lat jej pracy. Po tym okresie konieczne jest zrealizowanie kosztownych inwestycji modernizacyjnych w celu przedłużenia czasu pracy instalacji o kolejne lata. Ponieważ wiek </w:t>
            </w:r>
            <w:r w:rsidRPr="00072655">
              <w:rPr>
                <w:rFonts w:ascii="Times New Roman" w:hAnsi="Times New Roman"/>
                <w:bCs/>
              </w:rPr>
              <w:t xml:space="preserve">znacznej części działających w Polsce instalacji OZE objętych </w:t>
            </w:r>
            <w:r w:rsidR="003B02BA">
              <w:rPr>
                <w:rFonts w:ascii="Times New Roman" w:hAnsi="Times New Roman"/>
                <w:bCs/>
              </w:rPr>
              <w:t xml:space="preserve">pierwszym </w:t>
            </w:r>
            <w:r w:rsidRPr="00072655">
              <w:rPr>
                <w:rFonts w:ascii="Times New Roman" w:hAnsi="Times New Roman"/>
                <w:bCs/>
              </w:rPr>
              <w:t>systemem wsparcia</w:t>
            </w:r>
            <w:r w:rsidR="004E7BA9" w:rsidRPr="00072655">
              <w:rPr>
                <w:rFonts w:ascii="Times New Roman" w:hAnsi="Times New Roman"/>
                <w:bCs/>
              </w:rPr>
              <w:t xml:space="preserve"> (</w:t>
            </w:r>
            <w:r w:rsidR="004E7BA9" w:rsidRPr="000D3F79">
              <w:rPr>
                <w:rFonts w:ascii="Times New Roman" w:hAnsi="Times New Roman"/>
              </w:rPr>
              <w:t>system świadectw pochodzenia energii z OZE został uruchomiony w październiku 2005 r</w:t>
            </w:r>
            <w:r w:rsidR="004E7BA9">
              <w:t>.)</w:t>
            </w:r>
            <w:r w:rsidRPr="00FB7C95">
              <w:rPr>
                <w:rFonts w:ascii="Times New Roman" w:hAnsi="Times New Roman"/>
                <w:bCs/>
              </w:rPr>
              <w:t xml:space="preserve"> zbliża się do tak określonego progu, w niedługim czasie konieczne będzie podjęcie inwestycji modernizacyjnych w celu zachowania tych instalacji w systemie (m.in. w celu utrzymania osiągniętego udziału OZE w zużyciu energii</w:t>
            </w:r>
            <w:r w:rsidR="001004FE">
              <w:rPr>
                <w:rFonts w:ascii="Times New Roman" w:hAnsi="Times New Roman"/>
                <w:bCs/>
              </w:rPr>
              <w:t xml:space="preserve"> jako bazy dla dalszego przyrostu udziału OZE</w:t>
            </w:r>
            <w:r w:rsidRPr="00FB7C95">
              <w:rPr>
                <w:rFonts w:ascii="Times New Roman" w:hAnsi="Times New Roman"/>
                <w:bCs/>
              </w:rPr>
              <w:t>).</w:t>
            </w:r>
            <w:r w:rsidR="009202A6" w:rsidRPr="00FB7C95">
              <w:rPr>
                <w:rFonts w:ascii="Times New Roman" w:hAnsi="Times New Roman"/>
                <w:bCs/>
              </w:rPr>
              <w:t xml:space="preserve"> Wprawdzie obowiązujące przepisy u</w:t>
            </w:r>
            <w:r w:rsidR="009F4F35">
              <w:rPr>
                <w:rFonts w:ascii="Times New Roman" w:hAnsi="Times New Roman"/>
                <w:bCs/>
              </w:rPr>
              <w:t xml:space="preserve">stawy </w:t>
            </w:r>
            <w:r w:rsidR="009202A6" w:rsidRPr="00FB7C95">
              <w:rPr>
                <w:rFonts w:ascii="Times New Roman" w:hAnsi="Times New Roman"/>
                <w:bCs/>
              </w:rPr>
              <w:t xml:space="preserve">OZE określają zakres i sposób wspierania instalacji OZE w zakresie modernizacji, jednak przepisy </w:t>
            </w:r>
            <w:r w:rsidR="009F4F35">
              <w:rPr>
                <w:rFonts w:ascii="Times New Roman" w:hAnsi="Times New Roman"/>
                <w:bCs/>
              </w:rPr>
              <w:t xml:space="preserve">te, </w:t>
            </w:r>
            <w:r w:rsidR="00032785">
              <w:rPr>
                <w:rFonts w:ascii="Times New Roman" w:hAnsi="Times New Roman"/>
                <w:bCs/>
              </w:rPr>
              <w:t xml:space="preserve">ze względu na brak </w:t>
            </w:r>
            <w:r w:rsidR="009F4F35">
              <w:rPr>
                <w:rFonts w:ascii="Times New Roman" w:hAnsi="Times New Roman"/>
                <w:bCs/>
              </w:rPr>
              <w:t>notyfikacji</w:t>
            </w:r>
            <w:r w:rsidR="009F4F35" w:rsidRPr="00FB7C95">
              <w:rPr>
                <w:rFonts w:ascii="Times New Roman" w:hAnsi="Times New Roman"/>
                <w:bCs/>
              </w:rPr>
              <w:t xml:space="preserve"> </w:t>
            </w:r>
            <w:r w:rsidR="009202A6" w:rsidRPr="00FB7C95">
              <w:rPr>
                <w:rFonts w:ascii="Times New Roman" w:hAnsi="Times New Roman"/>
                <w:bCs/>
              </w:rPr>
              <w:t>nie znajdują zastosowania.</w:t>
            </w:r>
          </w:p>
          <w:p w14:paraId="2A2E951E" w14:textId="1CD43B5B" w:rsidR="00FB7C95" w:rsidRDefault="00FB7C95" w:rsidP="000D3F79">
            <w:pPr>
              <w:spacing w:after="120" w:line="240" w:lineRule="auto"/>
              <w:jc w:val="both"/>
              <w:rPr>
                <w:rFonts w:ascii="Times New Roman" w:hAnsi="Times New Roman"/>
                <w:bCs/>
              </w:rPr>
            </w:pPr>
            <w:r w:rsidRPr="00FB7C95">
              <w:rPr>
                <w:rFonts w:ascii="Times New Roman" w:hAnsi="Times New Roman"/>
                <w:bCs/>
              </w:rPr>
              <w:t xml:space="preserve">Z analizy kosztów modernizacji dla poszczególnych typów instalacji OZE wynika, że realizacja tego rodzaju inwestycji jest nieopłacalna </w:t>
            </w:r>
            <w:r w:rsidR="000424C4">
              <w:rPr>
                <w:rFonts w:ascii="Times New Roman" w:hAnsi="Times New Roman"/>
                <w:bCs/>
              </w:rPr>
              <w:t>w</w:t>
            </w:r>
            <w:r w:rsidRPr="00FB7C95">
              <w:rPr>
                <w:rFonts w:ascii="Times New Roman" w:hAnsi="Times New Roman"/>
                <w:bCs/>
              </w:rPr>
              <w:t xml:space="preserve"> aktualnych uwarunkowaniach rynkowych – </w:t>
            </w:r>
            <w:r w:rsidR="000424C4">
              <w:rPr>
                <w:rFonts w:ascii="Times New Roman" w:hAnsi="Times New Roman"/>
                <w:bCs/>
              </w:rPr>
              <w:t xml:space="preserve">na </w:t>
            </w:r>
            <w:r w:rsidRPr="00FB7C95">
              <w:rPr>
                <w:rFonts w:ascii="Times New Roman" w:hAnsi="Times New Roman"/>
                <w:bCs/>
              </w:rPr>
              <w:t>obecnym poziomie rynkowej ceny energii oraz braku wsparcia na inwestycje modernizacyjne.</w:t>
            </w:r>
          </w:p>
          <w:p w14:paraId="51F35EB7" w14:textId="5D717347" w:rsidR="003B02BA" w:rsidRDefault="00C007B0" w:rsidP="000D3F79">
            <w:pPr>
              <w:spacing w:after="120" w:line="240" w:lineRule="auto"/>
              <w:jc w:val="both"/>
              <w:rPr>
                <w:rFonts w:ascii="Times New Roman" w:hAnsi="Times New Roman"/>
                <w:bCs/>
              </w:rPr>
            </w:pPr>
            <w:r>
              <w:rPr>
                <w:rFonts w:ascii="Times New Roman" w:hAnsi="Times New Roman"/>
                <w:bCs/>
              </w:rPr>
              <w:t xml:space="preserve">Co więcej, niewprowadzenie systemu </w:t>
            </w:r>
            <w:r w:rsidR="003B02BA">
              <w:rPr>
                <w:rFonts w:ascii="Times New Roman" w:hAnsi="Times New Roman"/>
                <w:bCs/>
              </w:rPr>
              <w:t xml:space="preserve">wspierania </w:t>
            </w:r>
            <w:r>
              <w:rPr>
                <w:rFonts w:ascii="Times New Roman" w:hAnsi="Times New Roman"/>
                <w:bCs/>
              </w:rPr>
              <w:t xml:space="preserve">modernizacji i poprzez to </w:t>
            </w:r>
            <w:r w:rsidR="003B02BA">
              <w:rPr>
                <w:rFonts w:ascii="Times New Roman" w:hAnsi="Times New Roman"/>
                <w:bCs/>
              </w:rPr>
              <w:t>nie</w:t>
            </w:r>
            <w:r>
              <w:rPr>
                <w:rFonts w:ascii="Times New Roman" w:hAnsi="Times New Roman"/>
                <w:bCs/>
              </w:rPr>
              <w:t>utrzymanie istniejących już instalacji odnawialnych źródeł energii w systemie</w:t>
            </w:r>
            <w:r w:rsidR="003B02BA">
              <w:rPr>
                <w:rFonts w:ascii="Times New Roman" w:hAnsi="Times New Roman"/>
                <w:bCs/>
              </w:rPr>
              <w:t xml:space="preserve"> może spowodować ich definitywne </w:t>
            </w:r>
            <w:r>
              <w:rPr>
                <w:rFonts w:ascii="Times New Roman" w:hAnsi="Times New Roman"/>
                <w:bCs/>
              </w:rPr>
              <w:t>zamknięcie</w:t>
            </w:r>
            <w:r w:rsidR="009F4F35">
              <w:rPr>
                <w:rFonts w:ascii="Times New Roman" w:hAnsi="Times New Roman"/>
                <w:bCs/>
              </w:rPr>
              <w:t>,</w:t>
            </w:r>
            <w:r>
              <w:rPr>
                <w:rFonts w:ascii="Times New Roman" w:hAnsi="Times New Roman"/>
                <w:bCs/>
              </w:rPr>
              <w:t xml:space="preserve"> a tym samym konieczność uzupełnienia systemu w nowe instalacje</w:t>
            </w:r>
            <w:r w:rsidR="003B02BA">
              <w:rPr>
                <w:rFonts w:ascii="Times New Roman" w:hAnsi="Times New Roman"/>
                <w:bCs/>
              </w:rPr>
              <w:t>, ponosząc koszt inwestycji budowanej od podstaw</w:t>
            </w:r>
            <w:r>
              <w:rPr>
                <w:rFonts w:ascii="Times New Roman" w:hAnsi="Times New Roman"/>
                <w:bCs/>
              </w:rPr>
              <w:t>.</w:t>
            </w:r>
            <w:r w:rsidR="00DF5A5A">
              <w:rPr>
                <w:rFonts w:ascii="Times New Roman" w:hAnsi="Times New Roman"/>
                <w:bCs/>
              </w:rPr>
              <w:t xml:space="preserve"> </w:t>
            </w:r>
          </w:p>
          <w:p w14:paraId="06A24DA0" w14:textId="101DE3A9" w:rsidR="00C007B0" w:rsidRPr="00FB7C95" w:rsidRDefault="00C007B0" w:rsidP="000D3F79">
            <w:pPr>
              <w:spacing w:after="120" w:line="240" w:lineRule="auto"/>
              <w:jc w:val="both"/>
              <w:rPr>
                <w:rFonts w:ascii="Times New Roman" w:hAnsi="Times New Roman"/>
                <w:bCs/>
              </w:rPr>
            </w:pPr>
            <w:r>
              <w:rPr>
                <w:rFonts w:ascii="Times New Roman" w:hAnsi="Times New Roman"/>
                <w:bCs/>
              </w:rPr>
              <w:t xml:space="preserve">Wprowadzenie systemu modernizacji jest zatem konieczne dla utrzymania </w:t>
            </w:r>
            <w:r w:rsidR="003B02BA">
              <w:rPr>
                <w:rFonts w:ascii="Times New Roman" w:hAnsi="Times New Roman"/>
                <w:bCs/>
              </w:rPr>
              <w:t xml:space="preserve">już </w:t>
            </w:r>
            <w:r>
              <w:rPr>
                <w:rFonts w:ascii="Times New Roman" w:hAnsi="Times New Roman"/>
                <w:bCs/>
              </w:rPr>
              <w:t xml:space="preserve">osiągniętego udziału OZE w końcowym zużyciu energii brutto, wymaganym przez Dyrektywę </w:t>
            </w:r>
            <w:r w:rsidR="00064CC9">
              <w:rPr>
                <w:rFonts w:ascii="Times New Roman" w:hAnsi="Times New Roman"/>
                <w:bCs/>
              </w:rPr>
              <w:t>RED II</w:t>
            </w:r>
            <w:r>
              <w:rPr>
                <w:rFonts w:ascii="Times New Roman" w:hAnsi="Times New Roman"/>
                <w:bCs/>
              </w:rPr>
              <w:t xml:space="preserve">, dzięki czemu odbiorca końcowy nie będzie musiał ponosić </w:t>
            </w:r>
            <w:r w:rsidRPr="00C007B0">
              <w:rPr>
                <w:rFonts w:ascii="Times New Roman" w:hAnsi="Times New Roman"/>
                <w:bCs/>
              </w:rPr>
              <w:t xml:space="preserve">pełnych kosztów </w:t>
            </w:r>
            <w:r>
              <w:rPr>
                <w:rFonts w:ascii="Times New Roman" w:hAnsi="Times New Roman"/>
                <w:bCs/>
              </w:rPr>
              <w:t xml:space="preserve">budowy </w:t>
            </w:r>
            <w:r w:rsidRPr="00C007B0">
              <w:rPr>
                <w:rFonts w:ascii="Times New Roman" w:hAnsi="Times New Roman"/>
                <w:bCs/>
              </w:rPr>
              <w:t>nowych inwestycji.</w:t>
            </w:r>
          </w:p>
          <w:p w14:paraId="121A9ECA" w14:textId="18168A07" w:rsidR="00B1387F" w:rsidRPr="00905241" w:rsidRDefault="00F863BB" w:rsidP="00B1387F">
            <w:pPr>
              <w:spacing w:line="240" w:lineRule="auto"/>
              <w:jc w:val="both"/>
              <w:rPr>
                <w:rFonts w:ascii="Times New Roman" w:hAnsi="Times New Roman"/>
                <w:b/>
                <w:u w:val="single"/>
              </w:rPr>
            </w:pPr>
            <w:r>
              <w:rPr>
                <w:rFonts w:ascii="Times New Roman" w:hAnsi="Times New Roman"/>
                <w:b/>
                <w:u w:val="single"/>
              </w:rPr>
              <w:lastRenderedPageBreak/>
              <w:t xml:space="preserve">V. </w:t>
            </w:r>
            <w:r w:rsidR="00B1387F" w:rsidRPr="00905241">
              <w:rPr>
                <w:rFonts w:ascii="Times New Roman" w:hAnsi="Times New Roman"/>
                <w:b/>
                <w:u w:val="single"/>
              </w:rPr>
              <w:t xml:space="preserve">Systemy wsparcia </w:t>
            </w:r>
            <w:r w:rsidR="00012E65">
              <w:rPr>
                <w:rFonts w:ascii="Times New Roman" w:hAnsi="Times New Roman"/>
                <w:b/>
                <w:u w:val="single"/>
              </w:rPr>
              <w:t>operacyjnego</w:t>
            </w:r>
            <w:r w:rsidR="00B153CA">
              <w:rPr>
                <w:rFonts w:ascii="Times New Roman" w:hAnsi="Times New Roman"/>
                <w:b/>
                <w:u w:val="single"/>
              </w:rPr>
              <w:t xml:space="preserve"> </w:t>
            </w:r>
            <w:r w:rsidR="00B1387F" w:rsidRPr="00905241">
              <w:rPr>
                <w:rFonts w:ascii="Times New Roman" w:hAnsi="Times New Roman"/>
                <w:b/>
                <w:u w:val="single"/>
              </w:rPr>
              <w:t>umożliwiającego pokrycie uzasadnionych kosztów operacyjnych dla instalacji OZE po zakończeniu 15 letniego okresu wsparcia</w:t>
            </w:r>
          </w:p>
          <w:p w14:paraId="3FC30F85" w14:textId="33B9E9F6" w:rsidR="00C007B0" w:rsidRDefault="00B1387F" w:rsidP="000D3F79">
            <w:pPr>
              <w:pStyle w:val="NormalnyWeb"/>
              <w:spacing w:before="0" w:beforeAutospacing="0" w:after="120" w:afterAutospacing="0"/>
              <w:jc w:val="both"/>
              <w:rPr>
                <w:bCs/>
                <w:sz w:val="22"/>
                <w:szCs w:val="22"/>
                <w:lang w:val="pl-PL"/>
              </w:rPr>
            </w:pPr>
            <w:r>
              <w:rPr>
                <w:bCs/>
                <w:sz w:val="22"/>
                <w:szCs w:val="22"/>
                <w:lang w:val="pl-PL"/>
              </w:rPr>
              <w:t>Równolegle</w:t>
            </w:r>
            <w:r w:rsidRPr="00701E65">
              <w:rPr>
                <w:bCs/>
                <w:sz w:val="22"/>
                <w:szCs w:val="22"/>
                <w:lang w:val="pl-PL"/>
              </w:rPr>
              <w:t xml:space="preserve"> </w:t>
            </w:r>
            <w:r w:rsidR="00105A0C">
              <w:rPr>
                <w:bCs/>
                <w:sz w:val="22"/>
                <w:szCs w:val="22"/>
                <w:lang w:val="pl-PL"/>
              </w:rPr>
              <w:t>do</w:t>
            </w:r>
            <w:r>
              <w:rPr>
                <w:bCs/>
                <w:sz w:val="22"/>
                <w:szCs w:val="22"/>
                <w:lang w:val="pl-PL"/>
              </w:rPr>
              <w:t xml:space="preserve"> </w:t>
            </w:r>
            <w:r w:rsidR="009629B5" w:rsidRPr="00701E65">
              <w:rPr>
                <w:bCs/>
                <w:sz w:val="22"/>
                <w:szCs w:val="22"/>
                <w:lang w:val="pl-PL"/>
              </w:rPr>
              <w:t>system</w:t>
            </w:r>
            <w:r w:rsidR="004B7CFF">
              <w:rPr>
                <w:bCs/>
                <w:sz w:val="22"/>
                <w:szCs w:val="22"/>
                <w:lang w:val="pl-PL"/>
              </w:rPr>
              <w:t>u</w:t>
            </w:r>
            <w:r w:rsidR="009629B5" w:rsidRPr="00701E65">
              <w:rPr>
                <w:bCs/>
                <w:sz w:val="22"/>
                <w:szCs w:val="22"/>
                <w:lang w:val="pl-PL"/>
              </w:rPr>
              <w:t xml:space="preserve"> modernizacji instalacji OZE </w:t>
            </w:r>
            <w:r w:rsidR="009C7B64" w:rsidRPr="00701E65">
              <w:rPr>
                <w:bCs/>
                <w:sz w:val="22"/>
                <w:szCs w:val="22"/>
                <w:lang w:val="pl-PL"/>
              </w:rPr>
              <w:t xml:space="preserve">istnieje </w:t>
            </w:r>
            <w:r w:rsidR="009629B5" w:rsidRPr="00701E65">
              <w:rPr>
                <w:bCs/>
                <w:sz w:val="22"/>
                <w:szCs w:val="22"/>
                <w:lang w:val="pl-PL"/>
              </w:rPr>
              <w:t>potrzeba</w:t>
            </w:r>
            <w:r w:rsidR="009C7B64" w:rsidRPr="00701E65">
              <w:rPr>
                <w:bCs/>
                <w:sz w:val="22"/>
                <w:szCs w:val="22"/>
                <w:lang w:val="pl-PL"/>
              </w:rPr>
              <w:t xml:space="preserve"> </w:t>
            </w:r>
            <w:r w:rsidR="00CA724B" w:rsidRPr="00701E65">
              <w:rPr>
                <w:bCs/>
                <w:sz w:val="22"/>
                <w:szCs w:val="22"/>
                <w:lang w:val="pl-PL"/>
              </w:rPr>
              <w:t xml:space="preserve">wdrożenia systemu wsparcia </w:t>
            </w:r>
            <w:r w:rsidR="00012E65">
              <w:rPr>
                <w:bCs/>
                <w:sz w:val="22"/>
                <w:szCs w:val="22"/>
                <w:lang w:val="pl-PL"/>
              </w:rPr>
              <w:t>operacyjnego</w:t>
            </w:r>
            <w:r w:rsidR="00E25DAA">
              <w:rPr>
                <w:bCs/>
                <w:sz w:val="22"/>
                <w:szCs w:val="22"/>
                <w:lang w:val="pl-PL"/>
              </w:rPr>
              <w:t xml:space="preserve">, lecz ograniczającego nakłady na </w:t>
            </w:r>
            <w:r w:rsidR="000F17B0" w:rsidRPr="00701E65">
              <w:rPr>
                <w:bCs/>
                <w:sz w:val="22"/>
                <w:szCs w:val="22"/>
                <w:lang w:val="pl-PL"/>
              </w:rPr>
              <w:t xml:space="preserve">przeprowadzenie </w:t>
            </w:r>
            <w:r w:rsidR="004B7CFF">
              <w:rPr>
                <w:bCs/>
                <w:sz w:val="22"/>
                <w:szCs w:val="22"/>
                <w:lang w:val="pl-PL"/>
              </w:rPr>
              <w:t xml:space="preserve">niezbędnych </w:t>
            </w:r>
            <w:r w:rsidR="00E25DAA">
              <w:rPr>
                <w:bCs/>
                <w:sz w:val="22"/>
                <w:szCs w:val="22"/>
                <w:lang w:val="pl-PL"/>
              </w:rPr>
              <w:t>inwestycji</w:t>
            </w:r>
            <w:r w:rsidR="004B7CFF">
              <w:rPr>
                <w:bCs/>
                <w:sz w:val="22"/>
                <w:szCs w:val="22"/>
                <w:lang w:val="pl-PL"/>
              </w:rPr>
              <w:t xml:space="preserve"> </w:t>
            </w:r>
            <w:r w:rsidR="00E25DAA">
              <w:rPr>
                <w:bCs/>
                <w:sz w:val="22"/>
                <w:szCs w:val="22"/>
                <w:lang w:val="pl-PL"/>
              </w:rPr>
              <w:t xml:space="preserve">do poziomu niższego </w:t>
            </w:r>
            <w:r w:rsidR="000F17B0" w:rsidRPr="00737738">
              <w:rPr>
                <w:bCs/>
                <w:sz w:val="22"/>
                <w:szCs w:val="22"/>
                <w:lang w:val="pl-PL"/>
              </w:rPr>
              <w:t>niż 25% nakładów na budowę nowej referencyjnej instalacji OZE</w:t>
            </w:r>
            <w:r w:rsidR="00313C11">
              <w:rPr>
                <w:bCs/>
                <w:sz w:val="22"/>
                <w:szCs w:val="22"/>
                <w:lang w:val="pl-PL"/>
              </w:rPr>
              <w:t xml:space="preserve">. </w:t>
            </w:r>
          </w:p>
          <w:p w14:paraId="6E6E527D" w14:textId="65B37FBE" w:rsidR="00744ECA" w:rsidRDefault="00313C11" w:rsidP="000D3F79">
            <w:pPr>
              <w:pStyle w:val="NormalnyWeb"/>
              <w:spacing w:before="0" w:beforeAutospacing="0" w:after="120" w:afterAutospacing="0"/>
              <w:jc w:val="both"/>
              <w:rPr>
                <w:bCs/>
                <w:sz w:val="22"/>
                <w:szCs w:val="22"/>
                <w:lang w:val="pl-PL"/>
              </w:rPr>
            </w:pPr>
            <w:r>
              <w:rPr>
                <w:bCs/>
                <w:sz w:val="22"/>
                <w:szCs w:val="22"/>
                <w:lang w:val="pl-PL"/>
              </w:rPr>
              <w:t xml:space="preserve">System ten umożliwiałby </w:t>
            </w:r>
            <w:r w:rsidR="00CA724B" w:rsidRPr="00737738">
              <w:rPr>
                <w:bCs/>
                <w:sz w:val="22"/>
                <w:szCs w:val="22"/>
                <w:lang w:val="pl-PL"/>
              </w:rPr>
              <w:t>pokrycie uzasadnionych kosztów operacyjnych dla instalacji OZE po zakończeniu 15</w:t>
            </w:r>
            <w:r w:rsidR="00B927BE">
              <w:rPr>
                <w:bCs/>
                <w:sz w:val="22"/>
                <w:szCs w:val="22"/>
                <w:lang w:val="pl-PL"/>
              </w:rPr>
              <w:t>-</w:t>
            </w:r>
            <w:r w:rsidR="00CA724B" w:rsidRPr="00737738">
              <w:rPr>
                <w:bCs/>
                <w:sz w:val="22"/>
                <w:szCs w:val="22"/>
                <w:lang w:val="pl-PL"/>
              </w:rPr>
              <w:t>letniego okresu wsparcia.</w:t>
            </w:r>
            <w:r w:rsidR="000A1E6C" w:rsidRPr="00737738">
              <w:rPr>
                <w:bCs/>
                <w:sz w:val="22"/>
                <w:szCs w:val="22"/>
                <w:lang w:val="pl-PL"/>
              </w:rPr>
              <w:t xml:space="preserve"> </w:t>
            </w:r>
            <w:r w:rsidR="004D1E1C" w:rsidRPr="00B1387F">
              <w:rPr>
                <w:bCs/>
                <w:sz w:val="22"/>
                <w:szCs w:val="22"/>
                <w:lang w:val="pl-PL"/>
              </w:rPr>
              <w:t xml:space="preserve">Bez uzyskania projektowanej pomocy wytwórcy energii w ww. instalacjach </w:t>
            </w:r>
            <w:r w:rsidR="00ED0872" w:rsidRPr="00B1387F">
              <w:rPr>
                <w:bCs/>
                <w:sz w:val="22"/>
                <w:szCs w:val="22"/>
                <w:lang w:val="pl-PL"/>
              </w:rPr>
              <w:t xml:space="preserve">nie byliby w stanie </w:t>
            </w:r>
            <w:r w:rsidR="00ED0872" w:rsidRPr="00B1387F">
              <w:rPr>
                <w:color w:val="000000"/>
                <w:spacing w:val="-2"/>
                <w:sz w:val="22"/>
                <w:szCs w:val="22"/>
                <w:lang w:val="pl-PL"/>
              </w:rPr>
              <w:t>utrzymać zdolności produkcyjnych instalacji OZE po zakończeniu okresu wsparcia</w:t>
            </w:r>
            <w:r w:rsidR="00F00AB3" w:rsidRPr="00B1387F">
              <w:rPr>
                <w:bCs/>
                <w:sz w:val="22"/>
                <w:szCs w:val="22"/>
                <w:lang w:val="pl-PL"/>
              </w:rPr>
              <w:t xml:space="preserve">, </w:t>
            </w:r>
            <w:r w:rsidR="004D1E1C" w:rsidRPr="00B1387F">
              <w:rPr>
                <w:bCs/>
                <w:sz w:val="22"/>
                <w:szCs w:val="22"/>
                <w:lang w:val="pl-PL"/>
              </w:rPr>
              <w:t>co</w:t>
            </w:r>
            <w:r w:rsidR="00CC6928" w:rsidRPr="00B1387F">
              <w:rPr>
                <w:bCs/>
                <w:sz w:val="22"/>
                <w:szCs w:val="22"/>
                <w:lang w:val="pl-PL"/>
              </w:rPr>
              <w:t xml:space="preserve"> </w:t>
            </w:r>
            <w:r w:rsidR="00F00AB3" w:rsidRPr="00B1387F">
              <w:rPr>
                <w:bCs/>
                <w:sz w:val="22"/>
                <w:szCs w:val="22"/>
                <w:lang w:val="pl-PL"/>
              </w:rPr>
              <w:t xml:space="preserve">byłoby niekorzystne ze względów ochrony środowiska, w tym konieczności </w:t>
            </w:r>
            <w:r w:rsidR="00ED0872" w:rsidRPr="00B1387F">
              <w:rPr>
                <w:bCs/>
                <w:sz w:val="22"/>
                <w:szCs w:val="22"/>
                <w:lang w:val="pl-PL"/>
              </w:rPr>
              <w:t xml:space="preserve">zwiększania </w:t>
            </w:r>
            <w:r w:rsidR="00C31B22">
              <w:rPr>
                <w:bCs/>
                <w:sz w:val="22"/>
                <w:szCs w:val="22"/>
                <w:lang w:val="pl-PL"/>
              </w:rPr>
              <w:t xml:space="preserve">ambicji w </w:t>
            </w:r>
            <w:r w:rsidR="00F00AB3" w:rsidRPr="00B1387F">
              <w:rPr>
                <w:bCs/>
                <w:sz w:val="22"/>
                <w:szCs w:val="22"/>
                <w:lang w:val="pl-PL"/>
              </w:rPr>
              <w:t>ogranicz</w:t>
            </w:r>
            <w:r w:rsidR="00C31B22">
              <w:rPr>
                <w:bCs/>
                <w:sz w:val="22"/>
                <w:szCs w:val="22"/>
                <w:lang w:val="pl-PL"/>
              </w:rPr>
              <w:t>aniu</w:t>
            </w:r>
            <w:r w:rsidR="00F00AB3" w:rsidRPr="00B1387F">
              <w:rPr>
                <w:bCs/>
                <w:sz w:val="22"/>
                <w:szCs w:val="22"/>
                <w:lang w:val="pl-PL"/>
              </w:rPr>
              <w:t xml:space="preserve"> emisji gazów</w:t>
            </w:r>
            <w:r w:rsidR="00C31B22">
              <w:rPr>
                <w:bCs/>
                <w:sz w:val="22"/>
                <w:szCs w:val="22"/>
                <w:lang w:val="pl-PL"/>
              </w:rPr>
              <w:t xml:space="preserve"> cieplarnianych</w:t>
            </w:r>
            <w:r w:rsidR="00C007B0">
              <w:rPr>
                <w:bCs/>
                <w:sz w:val="22"/>
                <w:szCs w:val="22"/>
                <w:lang w:val="pl-PL"/>
              </w:rPr>
              <w:t xml:space="preserve"> oraz konieczności </w:t>
            </w:r>
            <w:r w:rsidR="00C007B0" w:rsidRPr="00C007B0">
              <w:rPr>
                <w:bCs/>
                <w:sz w:val="22"/>
                <w:szCs w:val="22"/>
                <w:lang w:val="pl-PL"/>
              </w:rPr>
              <w:t>utrzymania osiągniętego udziału OZE w końcowym zużyciu energii brutto</w:t>
            </w:r>
            <w:r w:rsidR="00F00AB3" w:rsidRPr="00B1387F">
              <w:rPr>
                <w:bCs/>
                <w:sz w:val="22"/>
                <w:szCs w:val="22"/>
                <w:lang w:val="pl-PL"/>
              </w:rPr>
              <w:t>.</w:t>
            </w:r>
            <w:r w:rsidR="004D1E1C" w:rsidRPr="005B18B3">
              <w:rPr>
                <w:bCs/>
                <w:sz w:val="22"/>
                <w:szCs w:val="22"/>
                <w:lang w:val="pl-PL"/>
              </w:rPr>
              <w:t xml:space="preserve"> </w:t>
            </w:r>
          </w:p>
          <w:p w14:paraId="3C10C855" w14:textId="6DFAB67A" w:rsidR="0061120B" w:rsidRDefault="00744ECA" w:rsidP="000D3F79">
            <w:pPr>
              <w:spacing w:after="120" w:line="240" w:lineRule="auto"/>
              <w:jc w:val="both"/>
              <w:rPr>
                <w:rFonts w:ascii="Times New Roman" w:hAnsi="Times New Roman"/>
                <w:bCs/>
              </w:rPr>
            </w:pPr>
            <w:r>
              <w:rPr>
                <w:rFonts w:ascii="Times New Roman" w:hAnsi="Times New Roman"/>
                <w:bCs/>
              </w:rPr>
              <w:t>Wsparcie p</w:t>
            </w:r>
            <w:r w:rsidR="00CA724B" w:rsidRPr="00AF0426">
              <w:rPr>
                <w:rFonts w:ascii="Times New Roman" w:hAnsi="Times New Roman"/>
                <w:bCs/>
              </w:rPr>
              <w:t xml:space="preserve">owinno dotyczyć uzasadnionych kosztów operacyjnych </w:t>
            </w:r>
            <w:r w:rsidR="00166837" w:rsidRPr="00AF0426">
              <w:rPr>
                <w:rFonts w:ascii="Times New Roman" w:hAnsi="Times New Roman"/>
                <w:bCs/>
              </w:rPr>
              <w:t>zapewniając</w:t>
            </w:r>
            <w:r w:rsidR="00647064">
              <w:rPr>
                <w:rFonts w:ascii="Times New Roman" w:hAnsi="Times New Roman"/>
                <w:bCs/>
              </w:rPr>
              <w:t>ych</w:t>
            </w:r>
            <w:r w:rsidR="0061120B" w:rsidRPr="00AF0426">
              <w:rPr>
                <w:rFonts w:ascii="Times New Roman" w:hAnsi="Times New Roman"/>
                <w:bCs/>
              </w:rPr>
              <w:t xml:space="preserve"> rentowność produkcji energii poprzez pokrycie różnicy pomiędzy kosztami operacyjnymi a przychodami ze sprzedaży energii po cenie</w:t>
            </w:r>
            <w:r w:rsidR="0061120B" w:rsidRPr="0061120B">
              <w:rPr>
                <w:rFonts w:ascii="Times New Roman" w:hAnsi="Times New Roman"/>
                <w:bCs/>
              </w:rPr>
              <w:t xml:space="preserve"> rynkowej.</w:t>
            </w:r>
          </w:p>
          <w:p w14:paraId="088DD144" w14:textId="7E515DC7" w:rsidR="000F17B0" w:rsidRPr="000D3F79" w:rsidRDefault="00744ECA" w:rsidP="00A028A6">
            <w:pPr>
              <w:spacing w:line="240" w:lineRule="auto"/>
              <w:jc w:val="both"/>
              <w:rPr>
                <w:rFonts w:ascii="Times New Roman" w:hAnsi="Times New Roman"/>
                <w:u w:val="single"/>
              </w:rPr>
            </w:pPr>
            <w:r>
              <w:rPr>
                <w:rFonts w:ascii="Times New Roman" w:hAnsi="Times New Roman"/>
                <w:u w:val="single"/>
              </w:rPr>
              <w:t>Podstawowe c</w:t>
            </w:r>
            <w:r w:rsidR="000F17B0" w:rsidRPr="000D3F79">
              <w:rPr>
                <w:rFonts w:ascii="Times New Roman" w:hAnsi="Times New Roman"/>
                <w:u w:val="single"/>
              </w:rPr>
              <w:t xml:space="preserve">echy systemu wsparcia </w:t>
            </w:r>
            <w:r w:rsidR="00012E65">
              <w:rPr>
                <w:rFonts w:ascii="Times New Roman" w:hAnsi="Times New Roman"/>
                <w:u w:val="single"/>
              </w:rPr>
              <w:t>operacyjnego</w:t>
            </w:r>
            <w:r w:rsidR="00B153CA">
              <w:rPr>
                <w:rFonts w:ascii="Times New Roman" w:hAnsi="Times New Roman"/>
                <w:u w:val="single"/>
              </w:rPr>
              <w:t xml:space="preserve"> (</w:t>
            </w:r>
            <w:r w:rsidR="00687CDB">
              <w:rPr>
                <w:rFonts w:ascii="Times New Roman" w:hAnsi="Times New Roman"/>
                <w:u w:val="single"/>
              </w:rPr>
              <w:t xml:space="preserve">wsparcia </w:t>
            </w:r>
            <w:r w:rsidR="00B153CA">
              <w:rPr>
                <w:rFonts w:ascii="Times New Roman" w:hAnsi="Times New Roman"/>
                <w:u w:val="single"/>
              </w:rPr>
              <w:t>operacyjnego)</w:t>
            </w:r>
          </w:p>
          <w:p w14:paraId="43A1CF15" w14:textId="536576E1"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 xml:space="preserve">Ze wsparcia może korzystać wytwórca energii w instalacji OZE, dla której upłynął 15-letni okres „pierwotnego” wsparcia w ramach systemu </w:t>
            </w:r>
            <w:r w:rsidR="00744ECA">
              <w:rPr>
                <w:rFonts w:ascii="Times New Roman" w:hAnsi="Times New Roman"/>
                <w:bCs/>
              </w:rPr>
              <w:t>świadectw pochodzenia</w:t>
            </w:r>
            <w:r w:rsidRPr="000F17B0">
              <w:rPr>
                <w:rFonts w:ascii="Times New Roman" w:hAnsi="Times New Roman"/>
                <w:bCs/>
              </w:rPr>
              <w:t>, FIT, FIP lub aukcyjnego;</w:t>
            </w:r>
          </w:p>
          <w:p w14:paraId="31922701" w14:textId="1C8662F2"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 xml:space="preserve">Wsparcie </w:t>
            </w:r>
            <w:r>
              <w:rPr>
                <w:rFonts w:ascii="Times New Roman" w:hAnsi="Times New Roman"/>
                <w:bCs/>
              </w:rPr>
              <w:t xml:space="preserve">nie </w:t>
            </w:r>
            <w:r w:rsidRPr="000F17B0">
              <w:rPr>
                <w:rFonts w:ascii="Times New Roman" w:hAnsi="Times New Roman"/>
                <w:bCs/>
              </w:rPr>
              <w:t>może być łączone dla tego samego okresu z innym wsparciem operacyjnym</w:t>
            </w:r>
            <w:r w:rsidR="009F2248">
              <w:rPr>
                <w:rFonts w:ascii="Times New Roman" w:hAnsi="Times New Roman"/>
                <w:bCs/>
              </w:rPr>
              <w:t xml:space="preserve"> </w:t>
            </w:r>
            <w:r w:rsidRPr="000F17B0">
              <w:rPr>
                <w:rFonts w:ascii="Times New Roman" w:hAnsi="Times New Roman"/>
                <w:bCs/>
              </w:rPr>
              <w:t>(</w:t>
            </w:r>
            <w:r w:rsidR="00E63CD6">
              <w:rPr>
                <w:rFonts w:ascii="Times New Roman" w:hAnsi="Times New Roman"/>
                <w:bCs/>
              </w:rPr>
              <w:t xml:space="preserve">w tym </w:t>
            </w:r>
            <w:r w:rsidRPr="000F17B0">
              <w:rPr>
                <w:rFonts w:ascii="Times New Roman" w:hAnsi="Times New Roman"/>
                <w:bCs/>
              </w:rPr>
              <w:t>np. rynek mocy, wsparcie</w:t>
            </w:r>
            <w:r w:rsidR="009F2248">
              <w:rPr>
                <w:rFonts w:ascii="Times New Roman" w:hAnsi="Times New Roman"/>
                <w:bCs/>
              </w:rPr>
              <w:t xml:space="preserve"> </w:t>
            </w:r>
            <w:r w:rsidRPr="000F17B0">
              <w:rPr>
                <w:rFonts w:ascii="Times New Roman" w:hAnsi="Times New Roman"/>
                <w:bCs/>
              </w:rPr>
              <w:t>dla wysokosprawnej kogeneracji);</w:t>
            </w:r>
          </w:p>
          <w:p w14:paraId="4EEF2B0D" w14:textId="48EB11ED" w:rsidR="000F17B0" w:rsidRPr="000F17B0" w:rsidRDefault="000F17B0" w:rsidP="000F17B0">
            <w:pPr>
              <w:numPr>
                <w:ilvl w:val="0"/>
                <w:numId w:val="111"/>
              </w:numPr>
              <w:spacing w:line="240" w:lineRule="auto"/>
              <w:jc w:val="both"/>
              <w:rPr>
                <w:rFonts w:ascii="Times New Roman" w:hAnsi="Times New Roman"/>
                <w:bCs/>
              </w:rPr>
            </w:pPr>
            <w:r w:rsidRPr="000F17B0">
              <w:rPr>
                <w:rFonts w:ascii="Times New Roman" w:hAnsi="Times New Roman"/>
                <w:bCs/>
              </w:rPr>
              <w:t>Wsparcie może być łączone ze wsparciem inwestycyjnym (np. dotacje i pożyczki NFOŚiGW)</w:t>
            </w:r>
            <w:r w:rsidR="009F2248">
              <w:rPr>
                <w:rFonts w:ascii="Times New Roman" w:hAnsi="Times New Roman"/>
                <w:bCs/>
              </w:rPr>
              <w:t xml:space="preserve"> </w:t>
            </w:r>
            <w:r w:rsidRPr="000F17B0">
              <w:rPr>
                <w:rFonts w:ascii="Times New Roman" w:hAnsi="Times New Roman"/>
                <w:bCs/>
              </w:rPr>
              <w:t>i nie podlega regule kumulacji (wysokość wsparcia operacyjnego nie jest kalkulowana z uwzględnieniem kosztów inwestycyjnych, dlatego nie zaistnieje sytuacja podwójnego finansowania tych samych kosztów z obu instrumentów);</w:t>
            </w:r>
          </w:p>
          <w:p w14:paraId="48537BD2" w14:textId="3EFA0291" w:rsidR="000F17B0" w:rsidRPr="000F17B0" w:rsidRDefault="000F17B0" w:rsidP="004B458B">
            <w:pPr>
              <w:numPr>
                <w:ilvl w:val="0"/>
                <w:numId w:val="111"/>
              </w:numPr>
              <w:spacing w:after="120" w:line="240" w:lineRule="auto"/>
              <w:jc w:val="both"/>
              <w:rPr>
                <w:rFonts w:ascii="Times New Roman" w:hAnsi="Times New Roman"/>
                <w:bCs/>
              </w:rPr>
            </w:pPr>
            <w:r w:rsidRPr="000F17B0">
              <w:rPr>
                <w:rFonts w:ascii="Times New Roman" w:hAnsi="Times New Roman"/>
                <w:bCs/>
              </w:rPr>
              <w:t xml:space="preserve">Poziom wsparcia określany jest dla </w:t>
            </w:r>
            <w:r w:rsidR="00991376">
              <w:rPr>
                <w:rFonts w:ascii="Times New Roman" w:hAnsi="Times New Roman"/>
                <w:bCs/>
              </w:rPr>
              <w:t>trzech</w:t>
            </w:r>
            <w:r w:rsidRPr="000F17B0">
              <w:rPr>
                <w:rFonts w:ascii="Times New Roman" w:hAnsi="Times New Roman"/>
                <w:bCs/>
              </w:rPr>
              <w:t xml:space="preserve"> technologii: elektrowni wodnych, </w:t>
            </w:r>
            <w:proofErr w:type="spellStart"/>
            <w:r w:rsidRPr="000F17B0">
              <w:rPr>
                <w:rFonts w:ascii="Times New Roman" w:hAnsi="Times New Roman"/>
                <w:bCs/>
              </w:rPr>
              <w:t>biomasowych</w:t>
            </w:r>
            <w:proofErr w:type="spellEnd"/>
            <w:r w:rsidR="009F2248">
              <w:rPr>
                <w:rFonts w:ascii="Times New Roman" w:hAnsi="Times New Roman"/>
                <w:bCs/>
              </w:rPr>
              <w:t xml:space="preserve"> </w:t>
            </w:r>
            <w:r w:rsidRPr="000F17B0">
              <w:rPr>
                <w:rFonts w:ascii="Times New Roman" w:hAnsi="Times New Roman"/>
                <w:bCs/>
              </w:rPr>
              <w:t xml:space="preserve">i biogazowych oraz w przedziałach </w:t>
            </w:r>
            <w:proofErr w:type="spellStart"/>
            <w:r w:rsidRPr="000F17B0">
              <w:rPr>
                <w:rFonts w:ascii="Times New Roman" w:hAnsi="Times New Roman"/>
                <w:bCs/>
              </w:rPr>
              <w:t>mocowych</w:t>
            </w:r>
            <w:proofErr w:type="spellEnd"/>
            <w:r w:rsidRPr="000F17B0">
              <w:rPr>
                <w:rFonts w:ascii="Times New Roman" w:hAnsi="Times New Roman"/>
                <w:bCs/>
              </w:rPr>
              <w:t xml:space="preserve"> uzasadniających dodatkowe różnicowanie poziomu wsparcia w ramach tych technologii</w:t>
            </w:r>
            <w:r w:rsidR="00E63CD6">
              <w:rPr>
                <w:rFonts w:ascii="Times New Roman" w:hAnsi="Times New Roman"/>
                <w:bCs/>
              </w:rPr>
              <w:t>.</w:t>
            </w:r>
          </w:p>
          <w:p w14:paraId="0B174FFB" w14:textId="12878C37" w:rsidR="00DA73F1" w:rsidRDefault="00744ECA" w:rsidP="004B458B">
            <w:pPr>
              <w:spacing w:after="120" w:line="240" w:lineRule="auto"/>
              <w:jc w:val="both"/>
              <w:rPr>
                <w:rFonts w:ascii="Times New Roman" w:hAnsi="Times New Roman"/>
                <w:bCs/>
              </w:rPr>
            </w:pPr>
            <w:r>
              <w:rPr>
                <w:rFonts w:ascii="Times New Roman" w:hAnsi="Times New Roman"/>
                <w:bCs/>
              </w:rPr>
              <w:t>Co kluczowe, w przypadku nie</w:t>
            </w:r>
            <w:r w:rsidR="00DA73F1">
              <w:rPr>
                <w:rFonts w:ascii="Times New Roman" w:hAnsi="Times New Roman"/>
                <w:bCs/>
              </w:rPr>
              <w:t>w</w:t>
            </w:r>
            <w:r>
              <w:rPr>
                <w:rFonts w:ascii="Times New Roman" w:hAnsi="Times New Roman"/>
                <w:bCs/>
              </w:rPr>
              <w:t xml:space="preserve">prowadzenia systemu wsparcia </w:t>
            </w:r>
            <w:r w:rsidR="00012E65">
              <w:rPr>
                <w:rFonts w:ascii="Times New Roman" w:hAnsi="Times New Roman"/>
                <w:bCs/>
              </w:rPr>
              <w:t>operacyjnego</w:t>
            </w:r>
            <w:r w:rsidR="00DA73F1">
              <w:rPr>
                <w:rFonts w:ascii="Times New Roman" w:hAnsi="Times New Roman"/>
                <w:bCs/>
              </w:rPr>
              <w:t xml:space="preserve"> instalacje, dla których nie ma ekonomicznego uzasadnienia przeprowadzania modernizacji czy znacznej modernizacji, co może w szczególności dotyczyć energetyki wodnej, mogą nie być w stanie pokryć kosztów operacyjnych tylko z przychodów pochodzących z rynku energii. </w:t>
            </w:r>
          </w:p>
          <w:p w14:paraId="03F8C80E" w14:textId="32388274" w:rsidR="00DA73F1" w:rsidRDefault="00DA73F1" w:rsidP="004B458B">
            <w:pPr>
              <w:spacing w:after="120" w:line="240" w:lineRule="auto"/>
              <w:jc w:val="both"/>
              <w:rPr>
                <w:rFonts w:ascii="Times New Roman" w:hAnsi="Times New Roman"/>
                <w:bCs/>
              </w:rPr>
            </w:pPr>
            <w:r>
              <w:rPr>
                <w:rFonts w:ascii="Times New Roman" w:hAnsi="Times New Roman"/>
                <w:bCs/>
              </w:rPr>
              <w:t xml:space="preserve">Sytuacją </w:t>
            </w:r>
            <w:r w:rsidR="009F4F35">
              <w:rPr>
                <w:rFonts w:ascii="Times New Roman" w:hAnsi="Times New Roman"/>
                <w:bCs/>
              </w:rPr>
              <w:t xml:space="preserve">ze wszech </w:t>
            </w:r>
            <w:r>
              <w:rPr>
                <w:rFonts w:ascii="Times New Roman" w:hAnsi="Times New Roman"/>
                <w:bCs/>
              </w:rPr>
              <w:t xml:space="preserve">miar niekorzystną, zarówno w wymiarze lokalnym jak i ze względu na zobowiązania wynikające z podwyższania ambicji międzynarodowych </w:t>
            </w:r>
            <w:r w:rsidR="00B927BE">
              <w:rPr>
                <w:rFonts w:ascii="Times New Roman" w:hAnsi="Times New Roman"/>
                <w:bCs/>
              </w:rPr>
              <w:t xml:space="preserve">w zakresie celów OZE i redukcji emisji CO2 </w:t>
            </w:r>
            <w:r>
              <w:rPr>
                <w:rFonts w:ascii="Times New Roman" w:hAnsi="Times New Roman"/>
                <w:bCs/>
              </w:rPr>
              <w:t xml:space="preserve">byłoby zatrzymanie działalności wytwarzania energii elektrycznej w </w:t>
            </w:r>
            <w:r w:rsidR="00B927BE">
              <w:rPr>
                <w:rFonts w:ascii="Times New Roman" w:hAnsi="Times New Roman"/>
                <w:bCs/>
              </w:rPr>
              <w:t>takich</w:t>
            </w:r>
            <w:r>
              <w:rPr>
                <w:rFonts w:ascii="Times New Roman" w:hAnsi="Times New Roman"/>
                <w:bCs/>
              </w:rPr>
              <w:t xml:space="preserve"> instalacjach. Co więcej wstrzymanie wytwarzania energii w istniejących instalacjach OZE może </w:t>
            </w:r>
            <w:r w:rsidR="009F7669">
              <w:rPr>
                <w:rFonts w:ascii="Times New Roman" w:hAnsi="Times New Roman"/>
                <w:bCs/>
              </w:rPr>
              <w:t xml:space="preserve">wymusić konieczność zwiększenia produkcji energii w instalacjach konwencjonalnych. </w:t>
            </w:r>
          </w:p>
          <w:p w14:paraId="040DB324" w14:textId="77777777" w:rsidR="003178F1" w:rsidRDefault="00DA73F1" w:rsidP="007538EF">
            <w:pPr>
              <w:spacing w:line="240" w:lineRule="auto"/>
              <w:jc w:val="both"/>
              <w:rPr>
                <w:rFonts w:ascii="Times New Roman" w:hAnsi="Times New Roman"/>
                <w:bCs/>
              </w:rPr>
            </w:pPr>
            <w:r>
              <w:rPr>
                <w:rFonts w:ascii="Times New Roman" w:hAnsi="Times New Roman"/>
                <w:bCs/>
              </w:rPr>
              <w:t xml:space="preserve">Celowym zatem jest </w:t>
            </w:r>
            <w:r w:rsidR="009F7669">
              <w:rPr>
                <w:rFonts w:ascii="Times New Roman" w:hAnsi="Times New Roman"/>
                <w:bCs/>
              </w:rPr>
              <w:t xml:space="preserve">wprowadzenie sytemu, dzięki któremu wytwórcy posiadając perspektywę </w:t>
            </w:r>
            <w:r w:rsidR="001C4B99">
              <w:rPr>
                <w:rFonts w:ascii="Times New Roman" w:hAnsi="Times New Roman"/>
                <w:bCs/>
              </w:rPr>
              <w:t xml:space="preserve">stabilnych przychodów </w:t>
            </w:r>
            <w:r w:rsidR="009F7669">
              <w:rPr>
                <w:rFonts w:ascii="Times New Roman" w:hAnsi="Times New Roman"/>
                <w:bCs/>
              </w:rPr>
              <w:t xml:space="preserve">przez kolejne lata, podejmą decyzję </w:t>
            </w:r>
            <w:r w:rsidR="001C4B99">
              <w:rPr>
                <w:rFonts w:ascii="Times New Roman" w:hAnsi="Times New Roman"/>
                <w:bCs/>
              </w:rPr>
              <w:t xml:space="preserve">o </w:t>
            </w:r>
            <w:r w:rsidR="009F7669">
              <w:rPr>
                <w:rFonts w:ascii="Times New Roman" w:hAnsi="Times New Roman"/>
                <w:bCs/>
              </w:rPr>
              <w:t>kontynuowani</w:t>
            </w:r>
            <w:r w:rsidR="001C4B99">
              <w:rPr>
                <w:rFonts w:ascii="Times New Roman" w:hAnsi="Times New Roman"/>
                <w:bCs/>
              </w:rPr>
              <w:t>u</w:t>
            </w:r>
            <w:r w:rsidR="009F7669">
              <w:rPr>
                <w:rFonts w:ascii="Times New Roman" w:hAnsi="Times New Roman"/>
                <w:bCs/>
              </w:rPr>
              <w:t xml:space="preserve"> </w:t>
            </w:r>
            <w:r w:rsidR="001C4B99">
              <w:rPr>
                <w:rFonts w:ascii="Times New Roman" w:hAnsi="Times New Roman"/>
                <w:bCs/>
              </w:rPr>
              <w:t xml:space="preserve">działalności wytwórczej w </w:t>
            </w:r>
            <w:r w:rsidR="009F7669">
              <w:rPr>
                <w:rFonts w:ascii="Times New Roman" w:hAnsi="Times New Roman"/>
                <w:bCs/>
              </w:rPr>
              <w:t>instalacji OZE.</w:t>
            </w:r>
          </w:p>
          <w:p w14:paraId="1C16D4FD" w14:textId="361FFBDA" w:rsidR="007538EF" w:rsidRDefault="007538EF" w:rsidP="007538EF">
            <w:pPr>
              <w:spacing w:line="240" w:lineRule="auto"/>
              <w:jc w:val="both"/>
              <w:rPr>
                <w:rFonts w:ascii="Times New Roman" w:hAnsi="Times New Roman"/>
                <w:b/>
                <w:u w:val="single"/>
              </w:rPr>
            </w:pPr>
            <w:r w:rsidRPr="00F75F7F">
              <w:rPr>
                <w:rFonts w:ascii="Times New Roman" w:hAnsi="Times New Roman"/>
                <w:b/>
                <w:u w:val="single"/>
              </w:rPr>
              <w:t xml:space="preserve">VI. Hybrydowe instalacje OZE </w:t>
            </w:r>
          </w:p>
          <w:p w14:paraId="32F5B3E5" w14:textId="77777777" w:rsidR="007538EF" w:rsidRDefault="007538EF" w:rsidP="007538EF">
            <w:pPr>
              <w:spacing w:after="120" w:line="240" w:lineRule="auto"/>
              <w:jc w:val="both"/>
              <w:rPr>
                <w:rFonts w:ascii="Times New Roman" w:hAnsi="Times New Roman"/>
                <w:bCs/>
              </w:rPr>
            </w:pPr>
            <w:r>
              <w:rPr>
                <w:rFonts w:ascii="Times New Roman" w:hAnsi="Times New Roman"/>
                <w:bCs/>
              </w:rPr>
              <w:t xml:space="preserve">Rozwój odnawialnych źródeł energii powoduje coraz większe wyzwanie po stronie operatorów z bilansowaniem systemu i dyspozycyjnością jednostek wytwórczych wytwarzających tzw. zieloną energię. Ma to szczególną wagę w warunkach krajowych, ze względu na strukturę mocy zainstalowanej przeważającą w Polsce i coraz większym udziale mocy zainstalowanych w źródłach </w:t>
            </w:r>
            <w:proofErr w:type="spellStart"/>
            <w:r>
              <w:rPr>
                <w:rFonts w:ascii="Times New Roman" w:hAnsi="Times New Roman"/>
                <w:bCs/>
              </w:rPr>
              <w:t>pogodowozależnych</w:t>
            </w:r>
            <w:proofErr w:type="spellEnd"/>
            <w:r>
              <w:rPr>
                <w:rFonts w:ascii="Times New Roman" w:hAnsi="Times New Roman"/>
                <w:bCs/>
              </w:rPr>
              <w:t xml:space="preserve">, takich jak, w szczególności, wiatru na lądzie lub </w:t>
            </w:r>
            <w:proofErr w:type="spellStart"/>
            <w:r>
              <w:rPr>
                <w:rFonts w:ascii="Times New Roman" w:hAnsi="Times New Roman"/>
                <w:bCs/>
              </w:rPr>
              <w:t>fotowoltaiki</w:t>
            </w:r>
            <w:proofErr w:type="spellEnd"/>
            <w:r>
              <w:rPr>
                <w:rFonts w:ascii="Times New Roman" w:hAnsi="Times New Roman"/>
                <w:bCs/>
              </w:rPr>
              <w:t xml:space="preserve">. </w:t>
            </w:r>
          </w:p>
          <w:p w14:paraId="170324B2" w14:textId="77777777" w:rsidR="007538EF" w:rsidRDefault="007538EF" w:rsidP="007538EF">
            <w:pPr>
              <w:spacing w:after="120" w:line="240" w:lineRule="auto"/>
              <w:jc w:val="both"/>
              <w:rPr>
                <w:rFonts w:ascii="Times New Roman" w:hAnsi="Times New Roman"/>
                <w:bCs/>
              </w:rPr>
            </w:pPr>
            <w:r>
              <w:rPr>
                <w:rFonts w:ascii="Times New Roman" w:hAnsi="Times New Roman"/>
                <w:bCs/>
              </w:rPr>
              <w:t>W związku z coraz ambitniejszymi celami Polski w zakresie udziału OZE w końcowym zużyciu energii brutto, a także rozwojem technologii magazynowania energii pozwalających na rozciągnięcie możliwości dysponowania mocą instalacji także poza czas bezpośredniego wytwarzania energii w tej instalacji, np. w warunkach bezwietrznych lub po zmroku, istnieje konieczność dostosowania regulacji dotyczących hybrydowych instalacji OZE.</w:t>
            </w:r>
          </w:p>
          <w:p w14:paraId="78749125" w14:textId="66E17A01" w:rsidR="00B24D99" w:rsidRPr="004B458B" w:rsidRDefault="00F863BB" w:rsidP="007538EF">
            <w:pPr>
              <w:spacing w:line="240" w:lineRule="auto"/>
              <w:jc w:val="both"/>
              <w:rPr>
                <w:rFonts w:ascii="Times New Roman" w:hAnsi="Times New Roman"/>
                <w:b/>
                <w:u w:val="single"/>
              </w:rPr>
            </w:pPr>
            <w:r w:rsidRPr="004B458B">
              <w:rPr>
                <w:rFonts w:ascii="Times New Roman" w:hAnsi="Times New Roman"/>
                <w:b/>
                <w:u w:val="single"/>
              </w:rPr>
              <w:t>V</w:t>
            </w:r>
            <w:r w:rsidR="007538EF">
              <w:rPr>
                <w:rFonts w:ascii="Times New Roman" w:hAnsi="Times New Roman"/>
                <w:b/>
                <w:u w:val="single"/>
              </w:rPr>
              <w:t>I</w:t>
            </w:r>
            <w:r w:rsidRPr="004B458B">
              <w:rPr>
                <w:rFonts w:ascii="Times New Roman" w:hAnsi="Times New Roman"/>
                <w:b/>
                <w:u w:val="single"/>
              </w:rPr>
              <w:t xml:space="preserve">I. </w:t>
            </w:r>
            <w:r w:rsidR="00B24D99" w:rsidRPr="004B458B">
              <w:rPr>
                <w:rFonts w:ascii="Times New Roman" w:hAnsi="Times New Roman"/>
                <w:b/>
                <w:u w:val="single"/>
              </w:rPr>
              <w:t>Zmiany w zakresie morskiej energetyki wiatrowej</w:t>
            </w:r>
          </w:p>
          <w:p w14:paraId="3C9C4AC4" w14:textId="7461B525" w:rsidR="00724860" w:rsidRDefault="00DF5926" w:rsidP="00B24D99">
            <w:pPr>
              <w:spacing w:line="240" w:lineRule="auto"/>
              <w:jc w:val="both"/>
              <w:rPr>
                <w:rFonts w:ascii="Times New Roman" w:hAnsi="Times New Roman"/>
                <w:bCs/>
              </w:rPr>
            </w:pPr>
            <w:r>
              <w:rPr>
                <w:rFonts w:ascii="Times New Roman" w:hAnsi="Times New Roman"/>
                <w:bCs/>
              </w:rPr>
              <w:t xml:space="preserve">Na podstawie dotychczasowych doświadczeń zidentyfikowano konieczność dokonania zmian w: </w:t>
            </w:r>
          </w:p>
          <w:p w14:paraId="7B9B5110" w14:textId="636F557C" w:rsidR="00724860" w:rsidRPr="009F4F35" w:rsidRDefault="00B24D99" w:rsidP="009F4F35">
            <w:pPr>
              <w:pStyle w:val="Akapitzlist"/>
              <w:numPr>
                <w:ilvl w:val="2"/>
                <w:numId w:val="175"/>
              </w:numPr>
              <w:spacing w:line="240" w:lineRule="auto"/>
              <w:ind w:left="347" w:hanging="322"/>
              <w:jc w:val="both"/>
              <w:rPr>
                <w:rFonts w:ascii="Times New Roman" w:hAnsi="Times New Roman"/>
                <w:bCs/>
                <w:color w:val="000000"/>
              </w:rPr>
            </w:pPr>
            <w:r w:rsidRPr="009F4F35">
              <w:rPr>
                <w:rFonts w:ascii="Times New Roman" w:hAnsi="Times New Roman"/>
                <w:bCs/>
              </w:rPr>
              <w:t>ustaw</w:t>
            </w:r>
            <w:r w:rsidR="00DF5926">
              <w:rPr>
                <w:rFonts w:ascii="Times New Roman" w:hAnsi="Times New Roman"/>
                <w:bCs/>
              </w:rPr>
              <w:t>ie</w:t>
            </w:r>
            <w:r w:rsidRPr="009F4F35">
              <w:rPr>
                <w:rFonts w:ascii="Times New Roman" w:hAnsi="Times New Roman"/>
                <w:bCs/>
              </w:rPr>
              <w:t xml:space="preserve"> z dnia 17 grudnia 2020 r. o promowaniu wytwarzania energii elektrycznej w morskich farmach wiatrowych (Dz. U. z 2021 r. poz. 234, z </w:t>
            </w:r>
            <w:proofErr w:type="spellStart"/>
            <w:r w:rsidRPr="009F4F35">
              <w:rPr>
                <w:rFonts w:ascii="Times New Roman" w:hAnsi="Times New Roman"/>
                <w:bCs/>
              </w:rPr>
              <w:t>póżn</w:t>
            </w:r>
            <w:proofErr w:type="spellEnd"/>
            <w:r w:rsidRPr="009F4F35">
              <w:rPr>
                <w:rFonts w:ascii="Times New Roman" w:hAnsi="Times New Roman"/>
                <w:bCs/>
              </w:rPr>
              <w:t>. zm.)</w:t>
            </w:r>
            <w:r w:rsidR="00064C41" w:rsidRPr="009F4F35">
              <w:rPr>
                <w:rFonts w:ascii="Times New Roman" w:hAnsi="Times New Roman"/>
                <w:bCs/>
              </w:rPr>
              <w:t xml:space="preserve">, </w:t>
            </w:r>
            <w:r w:rsidR="00064C41" w:rsidRPr="009F4F35">
              <w:rPr>
                <w:rFonts w:ascii="Times New Roman" w:hAnsi="Times New Roman"/>
                <w:bCs/>
                <w:color w:val="000000"/>
              </w:rPr>
              <w:t>zwan</w:t>
            </w:r>
            <w:r w:rsidR="00724860" w:rsidRPr="009F4F35">
              <w:rPr>
                <w:rFonts w:ascii="Times New Roman" w:hAnsi="Times New Roman"/>
                <w:bCs/>
                <w:color w:val="000000"/>
              </w:rPr>
              <w:t>ą</w:t>
            </w:r>
            <w:r w:rsidR="00064C41" w:rsidRPr="009F4F35">
              <w:rPr>
                <w:rFonts w:ascii="Times New Roman" w:hAnsi="Times New Roman"/>
                <w:bCs/>
                <w:color w:val="000000"/>
              </w:rPr>
              <w:t xml:space="preserve"> dalej „ustawą </w:t>
            </w:r>
            <w:proofErr w:type="spellStart"/>
            <w:r w:rsidR="00064C41" w:rsidRPr="009F4F35">
              <w:rPr>
                <w:rFonts w:ascii="Times New Roman" w:hAnsi="Times New Roman"/>
                <w:bCs/>
                <w:color w:val="000000"/>
              </w:rPr>
              <w:t>offshore</w:t>
            </w:r>
            <w:proofErr w:type="spellEnd"/>
            <w:r w:rsidR="00064C41" w:rsidRPr="009F4F35">
              <w:rPr>
                <w:rFonts w:ascii="Times New Roman" w:hAnsi="Times New Roman"/>
                <w:bCs/>
                <w:color w:val="000000"/>
              </w:rPr>
              <w:t>”</w:t>
            </w:r>
            <w:r w:rsidR="00724860" w:rsidRPr="009F4F35">
              <w:rPr>
                <w:rFonts w:ascii="Times New Roman" w:hAnsi="Times New Roman"/>
                <w:bCs/>
                <w:color w:val="000000"/>
              </w:rPr>
              <w:t xml:space="preserve">, </w:t>
            </w:r>
          </w:p>
          <w:p w14:paraId="471ED18E" w14:textId="751AC343" w:rsidR="00724860" w:rsidRPr="009F4F35" w:rsidRDefault="00B24D99" w:rsidP="009F4F35">
            <w:pPr>
              <w:pStyle w:val="Akapitzlist"/>
              <w:numPr>
                <w:ilvl w:val="2"/>
                <w:numId w:val="175"/>
              </w:numPr>
              <w:spacing w:line="240" w:lineRule="auto"/>
              <w:ind w:left="347" w:hanging="322"/>
              <w:jc w:val="both"/>
              <w:rPr>
                <w:rFonts w:ascii="Times New Roman" w:hAnsi="Times New Roman"/>
                <w:bCs/>
              </w:rPr>
            </w:pPr>
            <w:r w:rsidRPr="009F4F35">
              <w:rPr>
                <w:rFonts w:ascii="Times New Roman" w:hAnsi="Times New Roman"/>
                <w:bCs/>
              </w:rPr>
              <w:t>ustaw</w:t>
            </w:r>
            <w:r w:rsidR="00DF5926">
              <w:rPr>
                <w:rFonts w:ascii="Times New Roman" w:hAnsi="Times New Roman"/>
                <w:bCs/>
              </w:rPr>
              <w:t xml:space="preserve">ie </w:t>
            </w:r>
            <w:r w:rsidRPr="009F4F35">
              <w:rPr>
                <w:rFonts w:ascii="Times New Roman" w:hAnsi="Times New Roman"/>
                <w:bCs/>
              </w:rPr>
              <w:t>z</w:t>
            </w:r>
            <w:r w:rsidR="00064C41" w:rsidRPr="009F4F35">
              <w:rPr>
                <w:rFonts w:ascii="Times New Roman" w:hAnsi="Times New Roman"/>
                <w:bCs/>
              </w:rPr>
              <w:t> </w:t>
            </w:r>
            <w:r w:rsidRPr="009F4F35">
              <w:rPr>
                <w:rFonts w:ascii="Times New Roman" w:hAnsi="Times New Roman"/>
                <w:bCs/>
              </w:rPr>
              <w:t xml:space="preserve">dnia 21 marca 1991 r. o obszarach morskich Rzeczypospolitej Polskiej i administracji morskiej (Dz. U. z 2020 r. poz. 2135, z </w:t>
            </w:r>
            <w:proofErr w:type="spellStart"/>
            <w:r w:rsidRPr="009F4F35">
              <w:rPr>
                <w:rFonts w:ascii="Times New Roman" w:hAnsi="Times New Roman"/>
                <w:bCs/>
              </w:rPr>
              <w:t>późn</w:t>
            </w:r>
            <w:proofErr w:type="spellEnd"/>
            <w:r w:rsidRPr="009F4F35">
              <w:rPr>
                <w:rFonts w:ascii="Times New Roman" w:hAnsi="Times New Roman"/>
                <w:bCs/>
              </w:rPr>
              <w:t>. zm.)</w:t>
            </w:r>
            <w:r w:rsidR="00033FA1">
              <w:rPr>
                <w:rFonts w:ascii="Times New Roman" w:hAnsi="Times New Roman"/>
                <w:bCs/>
              </w:rPr>
              <w:t>.</w:t>
            </w:r>
          </w:p>
          <w:p w14:paraId="7F470B13" w14:textId="77777777" w:rsidR="00F26A65" w:rsidRDefault="00064C41" w:rsidP="00F26A65">
            <w:pPr>
              <w:spacing w:after="120" w:line="240" w:lineRule="auto"/>
              <w:jc w:val="both"/>
              <w:rPr>
                <w:rFonts w:ascii="Times New Roman" w:hAnsi="Times New Roman"/>
                <w:bCs/>
              </w:rPr>
            </w:pPr>
            <w:r>
              <w:rPr>
                <w:rFonts w:ascii="Times New Roman" w:hAnsi="Times New Roman"/>
                <w:bCs/>
              </w:rPr>
              <w:t xml:space="preserve">Zmiany </w:t>
            </w:r>
            <w:r w:rsidR="00724860">
              <w:rPr>
                <w:rFonts w:ascii="Times New Roman" w:hAnsi="Times New Roman"/>
                <w:bCs/>
              </w:rPr>
              <w:t xml:space="preserve">ww. ustaw odpowiadają na potrzebę wprowadzenia niezbędnych modyfikacji </w:t>
            </w:r>
            <w:r w:rsidR="00724860" w:rsidRPr="00064C41">
              <w:rPr>
                <w:rFonts w:ascii="Times New Roman" w:hAnsi="Times New Roman"/>
                <w:bCs/>
              </w:rPr>
              <w:t>redakcyjno-technicznych</w:t>
            </w:r>
            <w:r w:rsidR="000D4189">
              <w:rPr>
                <w:rFonts w:ascii="Times New Roman" w:hAnsi="Times New Roman"/>
                <w:bCs/>
              </w:rPr>
              <w:t>,</w:t>
            </w:r>
            <w:r w:rsidR="00724860" w:rsidRPr="00064C41">
              <w:rPr>
                <w:rFonts w:ascii="Times New Roman" w:hAnsi="Times New Roman"/>
                <w:bCs/>
              </w:rPr>
              <w:t xml:space="preserve"> w celu wyeliminowania wątpliwości interpretacyjnych</w:t>
            </w:r>
            <w:r w:rsidR="00724860">
              <w:rPr>
                <w:rFonts w:ascii="Times New Roman" w:hAnsi="Times New Roman"/>
                <w:bCs/>
              </w:rPr>
              <w:t xml:space="preserve"> (w zakresie ustawy </w:t>
            </w:r>
            <w:proofErr w:type="spellStart"/>
            <w:r w:rsidR="00724860">
              <w:rPr>
                <w:rFonts w:ascii="Times New Roman" w:hAnsi="Times New Roman"/>
                <w:bCs/>
              </w:rPr>
              <w:t>offshore</w:t>
            </w:r>
            <w:proofErr w:type="spellEnd"/>
            <w:r w:rsidR="00724860">
              <w:rPr>
                <w:rFonts w:ascii="Times New Roman" w:hAnsi="Times New Roman"/>
                <w:bCs/>
              </w:rPr>
              <w:t xml:space="preserve">), jak również są rezultatem doświadczeń wynikających ze stosowania ustawy o obszarach morskich Rzeczypospolitej Polskiej i administracji morskiej, w kontekście przygotowania projektów morskich farm wiatrowych. </w:t>
            </w:r>
          </w:p>
          <w:p w14:paraId="62F36A43" w14:textId="52D2A8A0" w:rsidR="00F26A65" w:rsidRDefault="00F26A65" w:rsidP="00F26A65">
            <w:pPr>
              <w:spacing w:after="120" w:line="240" w:lineRule="auto"/>
              <w:jc w:val="both"/>
              <w:rPr>
                <w:rFonts w:ascii="Times New Roman" w:hAnsi="Times New Roman"/>
                <w:b/>
              </w:rPr>
            </w:pPr>
            <w:r w:rsidRPr="006C6C17">
              <w:rPr>
                <w:rFonts w:ascii="Times New Roman" w:hAnsi="Times New Roman"/>
                <w:b/>
              </w:rPr>
              <w:t>VI</w:t>
            </w:r>
            <w:r>
              <w:rPr>
                <w:rFonts w:ascii="Times New Roman" w:hAnsi="Times New Roman"/>
                <w:b/>
              </w:rPr>
              <w:t>II</w:t>
            </w:r>
            <w:r w:rsidRPr="006C6C17">
              <w:rPr>
                <w:rFonts w:ascii="Times New Roman" w:hAnsi="Times New Roman"/>
                <w:b/>
              </w:rPr>
              <w:t>.</w:t>
            </w:r>
            <w:r>
              <w:rPr>
                <w:rFonts w:ascii="Times New Roman" w:hAnsi="Times New Roman"/>
                <w:b/>
              </w:rPr>
              <w:t xml:space="preserve"> Pozostałe regulacje</w:t>
            </w:r>
          </w:p>
          <w:p w14:paraId="6380C140" w14:textId="2F408966" w:rsidR="00F26A65" w:rsidRPr="00F26A65" w:rsidRDefault="00F26A65" w:rsidP="00F26A65">
            <w:pPr>
              <w:spacing w:after="120" w:line="240" w:lineRule="auto"/>
              <w:jc w:val="both"/>
              <w:rPr>
                <w:rFonts w:ascii="Times New Roman" w:hAnsi="Times New Roman"/>
                <w:b/>
              </w:rPr>
            </w:pPr>
            <w:r w:rsidRPr="00F26A65">
              <w:rPr>
                <w:rFonts w:ascii="Times New Roman" w:hAnsi="Times New Roman"/>
                <w:b/>
              </w:rPr>
              <w:t>Zmiany w przepisach dot. systemów wsparcia OZE</w:t>
            </w:r>
          </w:p>
          <w:p w14:paraId="5D829D13" w14:textId="77777777" w:rsidR="00F26A65" w:rsidRPr="006C6C17" w:rsidRDefault="00F26A65" w:rsidP="00F26A65">
            <w:pPr>
              <w:spacing w:after="120" w:line="240" w:lineRule="auto"/>
              <w:contextualSpacing/>
              <w:jc w:val="both"/>
              <w:rPr>
                <w:rFonts w:ascii="Times New Roman" w:hAnsi="Times New Roman"/>
                <w:bCs/>
                <w:u w:val="single"/>
              </w:rPr>
            </w:pPr>
            <w:r w:rsidRPr="006C6C17">
              <w:rPr>
                <w:rFonts w:ascii="Times New Roman" w:hAnsi="Times New Roman"/>
                <w:bCs/>
                <w:u w:val="single"/>
              </w:rPr>
              <w:t>Wydłużenie terminu pierwszej sprzedaży energii z instalacji PV w ramach systemu aukcyjnego</w:t>
            </w:r>
          </w:p>
          <w:p w14:paraId="76D0C029" w14:textId="2324EB46"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Z uwagi na różnego rodzaju okoliczności zewnętrzne</w:t>
            </w:r>
            <w:r w:rsidR="003178F1">
              <w:rPr>
                <w:rFonts w:ascii="Times New Roman" w:hAnsi="Times New Roman"/>
                <w:bCs/>
              </w:rPr>
              <w:t>,</w:t>
            </w:r>
            <w:r w:rsidRPr="001C0BD8">
              <w:rPr>
                <w:rFonts w:ascii="Times New Roman" w:hAnsi="Times New Roman"/>
                <w:bCs/>
              </w:rPr>
              <w:t xml:space="preserve"> </w:t>
            </w:r>
            <w:r>
              <w:rPr>
                <w:rFonts w:ascii="Times New Roman" w:hAnsi="Times New Roman"/>
                <w:bCs/>
              </w:rPr>
              <w:t xml:space="preserve">m.in. </w:t>
            </w:r>
            <w:r w:rsidRPr="001C0BD8">
              <w:rPr>
                <w:rFonts w:ascii="Times New Roman" w:hAnsi="Times New Roman"/>
                <w:bCs/>
              </w:rPr>
              <w:t xml:space="preserve">spowodowane pandemicznym kryzysem energetycznym, zaburzeniami w łańcuchach dostaw urządzeń i komponentów oraz dynamizacją rozwoju energetyki odnawialnej, </w:t>
            </w:r>
            <w:r w:rsidRPr="001C0BD8">
              <w:rPr>
                <w:rFonts w:ascii="Times New Roman" w:hAnsi="Times New Roman"/>
                <w:bCs/>
              </w:rPr>
              <w:lastRenderedPageBreak/>
              <w:t>inwestorzy OZE, a w szczególności inwestorzy PV, zaczęli napotykać na problemy w procesie realizacji inwestycji wielkoskalowych.</w:t>
            </w:r>
          </w:p>
          <w:p w14:paraId="4168D211"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W związku z powyższym, w sytuacji wymagającej stosownej korekty legislacyjnej znaleźli się ci wytwórcy, którzy w ramach aukcji OZE zobligowali się do pierwszej sprzedaży energii elektrycznej do sieci, w terminie wynikającym</w:t>
            </w:r>
            <w:r w:rsidRPr="001C0BD8">
              <w:t xml:space="preserve"> </w:t>
            </w:r>
            <w:r w:rsidRPr="001C0BD8">
              <w:rPr>
                <w:rFonts w:ascii="Times New Roman" w:hAnsi="Times New Roman"/>
                <w:bCs/>
              </w:rPr>
              <w:t>z wygranej oferty, a którym w obecnej sytuacji grozi jego niedotrzymanie. Sytuacja ta dotyczy wytwórców, którzy wygrali aukcje OZE przeprowadzone w latach 2020-2021.</w:t>
            </w:r>
          </w:p>
          <w:p w14:paraId="6D4FA2AD"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Kluczowe ze wspomnianych problemów to odległe terminy realizacji przyłączenia do sieci, które operatorzy sieci proponują w zawieranych umowach przyłączeniowych</w:t>
            </w:r>
            <w:r>
              <w:rPr>
                <w:rFonts w:ascii="Times New Roman" w:hAnsi="Times New Roman"/>
                <w:bCs/>
              </w:rPr>
              <w:t xml:space="preserve"> – </w:t>
            </w:r>
            <w:r w:rsidRPr="001C0BD8">
              <w:rPr>
                <w:rFonts w:ascii="Times New Roman" w:hAnsi="Times New Roman"/>
                <w:bCs/>
              </w:rPr>
              <w:t>przekraczające wynikający z wygranej aukcji termin pierwszej sprzedaży energii elektrycznej do sieci oraz ograniczenia w produkcji komponentów na rzecz technologii PV, powodujące opóźnienia w realizacji zamówień przez dostawców.</w:t>
            </w:r>
          </w:p>
          <w:p w14:paraId="2320B226"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W obliczu wskazanych okoliczności, konieczne jest wydłużenie terminu realizacji zobowiązania uczestnika wygranej aukcji do sprzedaży po raz pierwszy w ramach systemu aukcyjnego energii elektrycznej wytworzonej w instalacji odnawialnego źródła energii wykorzystującej do wytworzenia energii elektrycznej wyłącznie energię promieniowania słonecznego.</w:t>
            </w:r>
          </w:p>
          <w:p w14:paraId="385F137A" w14:textId="77777777" w:rsidR="00F26A65" w:rsidRPr="006C6C17" w:rsidRDefault="00F26A65" w:rsidP="00F26A65">
            <w:pPr>
              <w:spacing w:after="120" w:line="240" w:lineRule="auto"/>
              <w:contextualSpacing/>
              <w:jc w:val="both"/>
              <w:rPr>
                <w:rFonts w:ascii="Times New Roman" w:hAnsi="Times New Roman"/>
                <w:bCs/>
                <w:u w:val="single"/>
              </w:rPr>
            </w:pPr>
            <w:r w:rsidRPr="006C6C17">
              <w:rPr>
                <w:rFonts w:ascii="Times New Roman" w:hAnsi="Times New Roman"/>
                <w:bCs/>
                <w:u w:val="single"/>
              </w:rPr>
              <w:t>Modyfikacja zasad wnoszenia opłaty zastępczej</w:t>
            </w:r>
          </w:p>
          <w:p w14:paraId="327B0796" w14:textId="77777777" w:rsidR="00F26A65" w:rsidRPr="001C0BD8" w:rsidRDefault="00F26A65" w:rsidP="00F26A65">
            <w:pPr>
              <w:spacing w:after="120" w:line="240" w:lineRule="auto"/>
              <w:jc w:val="both"/>
              <w:rPr>
                <w:rFonts w:ascii="Times New Roman" w:hAnsi="Times New Roman"/>
                <w:bCs/>
              </w:rPr>
            </w:pPr>
            <w:r w:rsidRPr="001C0BD8">
              <w:rPr>
                <w:rFonts w:ascii="Times New Roman" w:hAnsi="Times New Roman"/>
                <w:bCs/>
              </w:rPr>
              <w:t>Na przełomie III i IV kw. 2021 r. na rynku związanym z pierwszym dedykowanym instalacjom OZE systemem wsparcia w Polsce, tj. systemem zielonych certyfikatów, zaobserwowan</w:t>
            </w:r>
            <w:r>
              <w:rPr>
                <w:rFonts w:ascii="Times New Roman" w:hAnsi="Times New Roman"/>
                <w:bCs/>
              </w:rPr>
              <w:t>o</w:t>
            </w:r>
            <w:r w:rsidRPr="001C0BD8">
              <w:rPr>
                <w:rFonts w:ascii="Times New Roman" w:hAnsi="Times New Roman"/>
                <w:bCs/>
              </w:rPr>
              <w:t xml:space="preserve"> gwałtowny i bezprecedensowy wzrost ceny świadectw pochodzenia, która w pierwszej połowie października osiągnęła pułap 300 zł/MWh (czyli bliski maksymalnemu poziomowi opłaty zastępczej) w ramach tzw. transakcji sesyjnych na Towarowej Giełdzie Energii, przy jednocześnie utrzymującej się wysokiej nadpodaży świadectw w Rejestrze Świadectw Pochodzenia.</w:t>
            </w:r>
            <w:r>
              <w:rPr>
                <w:rFonts w:ascii="Times New Roman" w:hAnsi="Times New Roman"/>
                <w:bCs/>
              </w:rPr>
              <w:t xml:space="preserve"> </w:t>
            </w:r>
            <w:r w:rsidRPr="001C0BD8">
              <w:rPr>
                <w:rFonts w:ascii="Times New Roman" w:hAnsi="Times New Roman"/>
                <w:bCs/>
              </w:rPr>
              <w:t xml:space="preserve">Utrzymanie bieżącej sytuacji, przy wysokich hurtowych cenach energii elektrycznej, rodzi ryzyko nadmiernego obciążenia odbiorców końcowych energii, a także ryzyko </w:t>
            </w:r>
            <w:proofErr w:type="spellStart"/>
            <w:r w:rsidRPr="001C0BD8">
              <w:rPr>
                <w:rFonts w:ascii="Times New Roman" w:hAnsi="Times New Roman"/>
                <w:bCs/>
              </w:rPr>
              <w:t>nadwsparcia</w:t>
            </w:r>
            <w:proofErr w:type="spellEnd"/>
            <w:r w:rsidRPr="001C0BD8">
              <w:rPr>
                <w:rFonts w:ascii="Times New Roman" w:hAnsi="Times New Roman"/>
                <w:bCs/>
              </w:rPr>
              <w:t xml:space="preserve"> inwestorów objętych systemem zielonych certyfikatów, co stoi w sprzeczności z programem pomocowym SA.37345 – </w:t>
            </w:r>
            <w:r w:rsidRPr="001C0BD8">
              <w:rPr>
                <w:rFonts w:ascii="Times New Roman" w:hAnsi="Times New Roman"/>
                <w:bCs/>
                <w:i/>
                <w:iCs/>
              </w:rPr>
              <w:t>Polski system zielonych certyfikatów wspierający odnawialne źródła energii oraz zmniejszenie obciążeń wynikających z obowiązku certyfikatowego dla odbiorców energochłonnych</w:t>
            </w:r>
            <w:r w:rsidRPr="001C0BD8">
              <w:rPr>
                <w:rFonts w:ascii="Times New Roman" w:hAnsi="Times New Roman"/>
                <w:bCs/>
              </w:rPr>
              <w:t>.</w:t>
            </w:r>
          </w:p>
          <w:p w14:paraId="34DEDE49" w14:textId="1FAAD510" w:rsidR="00F26A65" w:rsidRDefault="00F26A65" w:rsidP="00F26A65">
            <w:pPr>
              <w:spacing w:after="120" w:line="240" w:lineRule="auto"/>
              <w:jc w:val="both"/>
              <w:rPr>
                <w:rFonts w:ascii="Times New Roman" w:hAnsi="Times New Roman"/>
                <w:bCs/>
              </w:rPr>
            </w:pPr>
            <w:r w:rsidRPr="001C0BD8">
              <w:rPr>
                <w:rFonts w:ascii="Times New Roman" w:hAnsi="Times New Roman"/>
                <w:bCs/>
              </w:rPr>
              <w:t>Mając na uwadze powyższe</w:t>
            </w:r>
            <w:r w:rsidR="007B1F1C">
              <w:rPr>
                <w:rFonts w:ascii="Times New Roman" w:hAnsi="Times New Roman"/>
                <w:bCs/>
              </w:rPr>
              <w:t>,</w:t>
            </w:r>
            <w:r w:rsidRPr="001C0BD8">
              <w:rPr>
                <w:rFonts w:ascii="Times New Roman" w:hAnsi="Times New Roman"/>
                <w:bCs/>
              </w:rPr>
              <w:t xml:space="preserve"> Ministerstwo Klimatu i Środowiska podjęło szereg działań, ukierunkowanych na unormowanie ww. sytuacji rynkowej. Rozwiązaniem proponowanym w przedmiotowym projekcie jest natomiast </w:t>
            </w:r>
            <w:r>
              <w:rPr>
                <w:rFonts w:ascii="Times New Roman" w:hAnsi="Times New Roman"/>
                <w:bCs/>
              </w:rPr>
              <w:t>modyfikacja</w:t>
            </w:r>
            <w:r w:rsidRPr="001C0BD8">
              <w:rPr>
                <w:rFonts w:ascii="Times New Roman" w:hAnsi="Times New Roman"/>
                <w:bCs/>
              </w:rPr>
              <w:t xml:space="preserve"> </w:t>
            </w:r>
            <w:r>
              <w:rPr>
                <w:rFonts w:ascii="Times New Roman" w:hAnsi="Times New Roman"/>
                <w:bCs/>
              </w:rPr>
              <w:t xml:space="preserve">możliwości </w:t>
            </w:r>
            <w:r w:rsidRPr="001C0BD8">
              <w:rPr>
                <w:rFonts w:ascii="Times New Roman" w:hAnsi="Times New Roman"/>
                <w:bCs/>
              </w:rPr>
              <w:t>uiszczania opłaty zastępczej</w:t>
            </w:r>
            <w:r w:rsidRPr="001C0BD8">
              <w:t xml:space="preserve"> </w:t>
            </w:r>
            <w:r w:rsidRPr="001C0BD8">
              <w:rPr>
                <w:rFonts w:ascii="Times New Roman" w:hAnsi="Times New Roman"/>
                <w:bCs/>
              </w:rPr>
              <w:t>i tym samym wprowadzenia większej elastyczności po stronie podmiotów zobowiązanych, co do wyboru ścieżki spełnienia tzw. obowiązku OZE.</w:t>
            </w:r>
          </w:p>
          <w:p w14:paraId="66BE7F5E" w14:textId="5FBF50EC" w:rsidR="00F26A65" w:rsidRPr="00870F69" w:rsidRDefault="00F26A65" w:rsidP="00F26A65">
            <w:pPr>
              <w:spacing w:after="120" w:line="240" w:lineRule="auto"/>
              <w:jc w:val="both"/>
              <w:rPr>
                <w:rFonts w:ascii="Times New Roman" w:hAnsi="Times New Roman"/>
                <w:b/>
              </w:rPr>
            </w:pPr>
            <w:r w:rsidRPr="00870F69">
              <w:rPr>
                <w:rFonts w:ascii="Times New Roman" w:hAnsi="Times New Roman"/>
                <w:b/>
              </w:rPr>
              <w:t>Krajowy plan na rzecz energii i klimatu</w:t>
            </w:r>
          </w:p>
          <w:p w14:paraId="001A3FEA" w14:textId="77777777" w:rsidR="001D1101" w:rsidRDefault="00F26A65" w:rsidP="00FA55AA">
            <w:pPr>
              <w:spacing w:after="240" w:line="240" w:lineRule="auto"/>
              <w:jc w:val="both"/>
              <w:rPr>
                <w:rFonts w:ascii="Times New Roman" w:hAnsi="Times New Roman"/>
                <w:bCs/>
              </w:rPr>
            </w:pPr>
            <w:r>
              <w:rPr>
                <w:rFonts w:ascii="Times New Roman" w:hAnsi="Times New Roman"/>
                <w:bCs/>
              </w:rPr>
              <w:t xml:space="preserve">Zmiany w ustawie – Prawo energetyczne mają na celu </w:t>
            </w:r>
            <w:r w:rsidRPr="00FF50A4">
              <w:rPr>
                <w:rFonts w:ascii="Times New Roman" w:hAnsi="Times New Roman"/>
                <w:bCs/>
              </w:rPr>
              <w:t>uregulowanie kwestii związanych z wypełnianiem obowiązków</w:t>
            </w:r>
            <w:r>
              <w:rPr>
                <w:rFonts w:ascii="Times New Roman" w:hAnsi="Times New Roman"/>
                <w:bCs/>
              </w:rPr>
              <w:t xml:space="preserve"> wynikających z </w:t>
            </w:r>
            <w:r w:rsidRPr="00FF50A4">
              <w:rPr>
                <w:rFonts w:ascii="Times New Roman" w:hAnsi="Times New Roman"/>
                <w:bCs/>
              </w:rPr>
              <w:t>rozporządzeni</w:t>
            </w:r>
            <w:r>
              <w:rPr>
                <w:rFonts w:ascii="Times New Roman" w:hAnsi="Times New Roman"/>
                <w:bCs/>
              </w:rPr>
              <w:t>a</w:t>
            </w:r>
            <w:r w:rsidRPr="00FF50A4">
              <w:rPr>
                <w:rFonts w:ascii="Times New Roman" w:hAnsi="Times New Roman"/>
                <w:bCs/>
              </w:rPr>
              <w:t xml:space="preserve"> Parlamentu Europejskiego i Rady (UE) 2018/1999 z dnia 11 grudnia 2018 r. </w:t>
            </w:r>
            <w:r w:rsidRPr="00D10CB6">
              <w:rPr>
                <w:rFonts w:ascii="Times New Roman" w:hAnsi="Times New Roman"/>
                <w:bCs/>
                <w:i/>
                <w:iCs/>
              </w:rPr>
              <w:t>w sprawie zarządzania unią energetyczną i działaniami w dziedzinie klimatu</w:t>
            </w:r>
            <w:r>
              <w:rPr>
                <w:rFonts w:ascii="Times New Roman" w:hAnsi="Times New Roman"/>
                <w:bCs/>
              </w:rPr>
              <w:t>,</w:t>
            </w:r>
            <w:r w:rsidRPr="00FF50A4">
              <w:rPr>
                <w:rFonts w:ascii="Times New Roman" w:hAnsi="Times New Roman"/>
                <w:bCs/>
              </w:rPr>
              <w:t xml:space="preserve"> </w:t>
            </w:r>
            <w:r>
              <w:rPr>
                <w:rFonts w:ascii="Times New Roman" w:hAnsi="Times New Roman"/>
                <w:bCs/>
              </w:rPr>
              <w:t xml:space="preserve">w zakresie opracowania integrowanego </w:t>
            </w:r>
            <w:r w:rsidRPr="00FF50A4">
              <w:rPr>
                <w:rFonts w:ascii="Times New Roman" w:hAnsi="Times New Roman"/>
                <w:bCs/>
              </w:rPr>
              <w:t>krajowego planu na rzecz energii i klimatu</w:t>
            </w:r>
            <w:r>
              <w:rPr>
                <w:rFonts w:ascii="Times New Roman" w:hAnsi="Times New Roman"/>
                <w:bCs/>
              </w:rPr>
              <w:t xml:space="preserve">. Dokument przedstawia m.in. krajową kontrybucję do realizacji celów klimatyczno-energetycznych oraz zawiera </w:t>
            </w:r>
            <w:r w:rsidRPr="004A6455">
              <w:rPr>
                <w:rFonts w:ascii="Times New Roman" w:hAnsi="Times New Roman"/>
                <w:bCs/>
              </w:rPr>
              <w:t>założenia i cele oraz polityki i działania na rzecz realizacji 5 wymiarów unii energetycznej:</w:t>
            </w:r>
            <w:r>
              <w:rPr>
                <w:rFonts w:ascii="Times New Roman" w:hAnsi="Times New Roman"/>
                <w:bCs/>
              </w:rPr>
              <w:t xml:space="preserve"> 1 - b</w:t>
            </w:r>
            <w:r w:rsidRPr="004A6455">
              <w:rPr>
                <w:rFonts w:ascii="Times New Roman" w:hAnsi="Times New Roman"/>
                <w:bCs/>
              </w:rPr>
              <w:t>ezpieczeństwa energetycznego</w:t>
            </w:r>
            <w:r>
              <w:rPr>
                <w:rFonts w:ascii="Times New Roman" w:hAnsi="Times New Roman"/>
                <w:bCs/>
              </w:rPr>
              <w:t>; 2 - o</w:t>
            </w:r>
            <w:r w:rsidRPr="004A6455">
              <w:rPr>
                <w:rFonts w:ascii="Times New Roman" w:hAnsi="Times New Roman"/>
                <w:bCs/>
              </w:rPr>
              <w:t>bniżenia emisyjności</w:t>
            </w:r>
            <w:r>
              <w:rPr>
                <w:rFonts w:ascii="Times New Roman" w:hAnsi="Times New Roman"/>
                <w:bCs/>
              </w:rPr>
              <w:t>; 3 - e</w:t>
            </w:r>
            <w:r w:rsidRPr="004A6455">
              <w:rPr>
                <w:rFonts w:ascii="Times New Roman" w:hAnsi="Times New Roman"/>
                <w:bCs/>
              </w:rPr>
              <w:t>fektywności energetycznej</w:t>
            </w:r>
            <w:r>
              <w:rPr>
                <w:rFonts w:ascii="Times New Roman" w:hAnsi="Times New Roman"/>
                <w:bCs/>
              </w:rPr>
              <w:t>; 4 - w</w:t>
            </w:r>
            <w:r w:rsidRPr="004A6455">
              <w:rPr>
                <w:rFonts w:ascii="Times New Roman" w:hAnsi="Times New Roman"/>
                <w:bCs/>
              </w:rPr>
              <w:t>ewnętrznego rynku energii</w:t>
            </w:r>
            <w:r>
              <w:rPr>
                <w:rFonts w:ascii="Times New Roman" w:hAnsi="Times New Roman"/>
                <w:bCs/>
              </w:rPr>
              <w:t>; 5 - b</w:t>
            </w:r>
            <w:r w:rsidRPr="004A6455">
              <w:rPr>
                <w:rFonts w:ascii="Times New Roman" w:hAnsi="Times New Roman"/>
                <w:bCs/>
              </w:rPr>
              <w:t>adań naukowych, innowacji i konkurencyjności.</w:t>
            </w:r>
            <w:r>
              <w:rPr>
                <w:rFonts w:ascii="Times New Roman" w:hAnsi="Times New Roman"/>
                <w:bCs/>
              </w:rPr>
              <w:t xml:space="preserve"> Nowe przepisy regulują kwestie </w:t>
            </w:r>
            <w:r w:rsidRPr="00FF50A4">
              <w:rPr>
                <w:rFonts w:ascii="Times New Roman" w:hAnsi="Times New Roman"/>
                <w:bCs/>
              </w:rPr>
              <w:t>podmiotu odpowiedzialnego za opracowanie i aktualizację zintegrowanego krajowego planu, jego projektu oraz sprawozdawczość.</w:t>
            </w:r>
            <w:r w:rsidR="001D1101">
              <w:rPr>
                <w:rFonts w:ascii="Times New Roman" w:hAnsi="Times New Roman"/>
                <w:bCs/>
              </w:rPr>
              <w:t xml:space="preserve"> </w:t>
            </w:r>
          </w:p>
          <w:p w14:paraId="45CC6B78" w14:textId="445699AB" w:rsidR="00C466AA" w:rsidRPr="00F75F7F" w:rsidRDefault="001D1101" w:rsidP="00FA55AA">
            <w:pPr>
              <w:spacing w:after="120" w:line="240" w:lineRule="auto"/>
              <w:jc w:val="both"/>
              <w:rPr>
                <w:rFonts w:ascii="Times New Roman" w:hAnsi="Times New Roman"/>
                <w:bCs/>
              </w:rPr>
            </w:pPr>
            <w:r>
              <w:rPr>
                <w:rFonts w:ascii="Times New Roman" w:hAnsi="Times New Roman"/>
                <w:bCs/>
              </w:rPr>
              <w:t>Wobec powyższego, rekomendowanym narzędziem interwencji celem rozwiązania wskazanych problemów jest opracowanie stosownego projektu ustawy. Nie jest możliwe zastosowanie innego rozwiązania niż podjęcie prac legislacyjnych.</w:t>
            </w:r>
          </w:p>
        </w:tc>
      </w:tr>
      <w:tr w:rsidR="006A701A" w:rsidRPr="00687093" w14:paraId="0EC5F0D1" w14:textId="77777777" w:rsidTr="008539E5">
        <w:trPr>
          <w:trHeight w:val="58"/>
        </w:trPr>
        <w:tc>
          <w:tcPr>
            <w:tcW w:w="10947" w:type="dxa"/>
            <w:gridSpan w:val="30"/>
            <w:tcBorders>
              <w:bottom w:val="single" w:sz="4" w:space="0" w:color="auto"/>
            </w:tcBorders>
            <w:shd w:val="clear" w:color="auto" w:fill="99CCFF"/>
            <w:vAlign w:val="center"/>
          </w:tcPr>
          <w:p w14:paraId="17E38730" w14:textId="77777777" w:rsidR="006A701A" w:rsidRPr="00687093" w:rsidRDefault="0013216E">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spacing w:val="-2"/>
              </w:rPr>
              <w:lastRenderedPageBreak/>
              <w:t>Rekomendowane rozwiązanie, w tym planowane narzędzia interwencji, i oczekiwany efekt</w:t>
            </w:r>
          </w:p>
        </w:tc>
      </w:tr>
      <w:tr w:rsidR="006A701A" w:rsidRPr="00687093" w14:paraId="4E40A44A" w14:textId="77777777" w:rsidTr="008539E5">
        <w:trPr>
          <w:trHeight w:val="142"/>
        </w:trPr>
        <w:tc>
          <w:tcPr>
            <w:tcW w:w="10947" w:type="dxa"/>
            <w:gridSpan w:val="30"/>
            <w:tcBorders>
              <w:bottom w:val="nil"/>
            </w:tcBorders>
            <w:shd w:val="clear" w:color="auto" w:fill="auto"/>
          </w:tcPr>
          <w:p w14:paraId="2D458838" w14:textId="5E75D1BD" w:rsidR="00072655" w:rsidRDefault="00DF5926" w:rsidP="000D3F79">
            <w:pPr>
              <w:spacing w:after="120" w:line="240" w:lineRule="auto"/>
              <w:jc w:val="both"/>
              <w:rPr>
                <w:rFonts w:ascii="Times New Roman" w:hAnsi="Times New Roman"/>
                <w:color w:val="000000"/>
              </w:rPr>
            </w:pPr>
            <w:bookmarkStart w:id="4" w:name="mip53125624"/>
            <w:bookmarkEnd w:id="4"/>
            <w:r>
              <w:rPr>
                <w:rFonts w:ascii="Times New Roman" w:hAnsi="Times New Roman"/>
                <w:color w:val="000000"/>
              </w:rPr>
              <w:t>Jak wskazano wyżej, p</w:t>
            </w:r>
            <w:r w:rsidR="00101B3C" w:rsidRPr="00101B3C">
              <w:rPr>
                <w:rFonts w:ascii="Times New Roman" w:hAnsi="Times New Roman"/>
                <w:color w:val="000000"/>
              </w:rPr>
              <w:t xml:space="preserve">roponowanym </w:t>
            </w:r>
            <w:r w:rsidR="00072655">
              <w:rPr>
                <w:rFonts w:ascii="Times New Roman" w:hAnsi="Times New Roman"/>
                <w:color w:val="000000"/>
              </w:rPr>
              <w:t xml:space="preserve">narzędziem interwencji do </w:t>
            </w:r>
            <w:r w:rsidR="00101B3C" w:rsidRPr="00101B3C">
              <w:rPr>
                <w:rFonts w:ascii="Times New Roman" w:hAnsi="Times New Roman"/>
                <w:color w:val="000000"/>
              </w:rPr>
              <w:t>rozwiązani</w:t>
            </w:r>
            <w:r w:rsidR="00072655">
              <w:rPr>
                <w:rFonts w:ascii="Times New Roman" w:hAnsi="Times New Roman"/>
                <w:color w:val="000000"/>
              </w:rPr>
              <w:t>a</w:t>
            </w:r>
            <w:r w:rsidR="00101B3C" w:rsidRPr="00101B3C">
              <w:rPr>
                <w:rFonts w:ascii="Times New Roman" w:hAnsi="Times New Roman"/>
                <w:color w:val="000000"/>
              </w:rPr>
              <w:t xml:space="preserve"> problemów, które zostały zidentyfikowane i opisane w pkt 1 OSR jest </w:t>
            </w:r>
            <w:r w:rsidR="00080247">
              <w:rPr>
                <w:rFonts w:ascii="Times New Roman" w:hAnsi="Times New Roman"/>
                <w:color w:val="000000"/>
              </w:rPr>
              <w:t xml:space="preserve">nowelizacja </w:t>
            </w:r>
            <w:r w:rsidR="00101B3C" w:rsidRPr="00101B3C">
              <w:rPr>
                <w:rFonts w:ascii="Times New Roman" w:hAnsi="Times New Roman"/>
                <w:color w:val="000000"/>
              </w:rPr>
              <w:t>ustawy</w:t>
            </w:r>
            <w:r w:rsidR="00101B3C">
              <w:rPr>
                <w:rFonts w:ascii="Times New Roman" w:hAnsi="Times New Roman"/>
                <w:color w:val="000000"/>
              </w:rPr>
              <w:t xml:space="preserve"> </w:t>
            </w:r>
            <w:r w:rsidR="00101B3C" w:rsidRPr="00101B3C">
              <w:rPr>
                <w:rFonts w:ascii="Times New Roman" w:hAnsi="Times New Roman"/>
                <w:color w:val="000000"/>
              </w:rPr>
              <w:t>OZE</w:t>
            </w:r>
            <w:r w:rsidR="00EB79AD">
              <w:rPr>
                <w:rFonts w:ascii="Times New Roman" w:hAnsi="Times New Roman"/>
                <w:color w:val="000000"/>
              </w:rPr>
              <w:t xml:space="preserve"> oraz innych ustaw.</w:t>
            </w:r>
            <w:r w:rsidR="00101B3C" w:rsidRPr="00101B3C">
              <w:rPr>
                <w:rFonts w:ascii="Times New Roman" w:hAnsi="Times New Roman"/>
                <w:color w:val="000000"/>
              </w:rPr>
              <w:t xml:space="preserve"> </w:t>
            </w:r>
          </w:p>
          <w:p w14:paraId="26670231" w14:textId="77777777" w:rsidR="00EB79AD" w:rsidRPr="00C27D63" w:rsidRDefault="00EB79AD" w:rsidP="00EB79AD">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 </w:t>
            </w:r>
            <w:proofErr w:type="spellStart"/>
            <w:r w:rsidRPr="00C27D63">
              <w:rPr>
                <w:rFonts w:ascii="Times New Roman" w:hAnsi="Times New Roman"/>
                <w:b/>
                <w:bCs/>
                <w:color w:val="000000"/>
                <w:u w:val="single"/>
              </w:rPr>
              <w:t>Biometan</w:t>
            </w:r>
            <w:proofErr w:type="spellEnd"/>
          </w:p>
          <w:p w14:paraId="58CBEBDD" w14:textId="0CDC5CF7" w:rsidR="00EB79AD" w:rsidRPr="00687093" w:rsidRDefault="00EB79AD" w:rsidP="00EB79AD">
            <w:pPr>
              <w:spacing w:after="120" w:line="240" w:lineRule="auto"/>
              <w:jc w:val="both"/>
              <w:rPr>
                <w:rFonts w:ascii="Times New Roman" w:hAnsi="Times New Roman"/>
                <w:color w:val="000000"/>
              </w:rPr>
            </w:pPr>
            <w:r w:rsidRPr="00687093">
              <w:rPr>
                <w:rFonts w:ascii="Times New Roman" w:hAnsi="Times New Roman"/>
                <w:color w:val="000000"/>
              </w:rPr>
              <w:t xml:space="preserve">Proponowanym rozwiązaniem problemów, które zostały zidentyfikowane i opisane w pkt 1 OSR </w:t>
            </w:r>
            <w:r>
              <w:rPr>
                <w:rFonts w:ascii="Times New Roman" w:hAnsi="Times New Roman"/>
                <w:color w:val="000000"/>
              </w:rPr>
              <w:t xml:space="preserve">dotyczącym rozwoju rynku </w:t>
            </w:r>
            <w:proofErr w:type="spellStart"/>
            <w:r>
              <w:rPr>
                <w:rFonts w:ascii="Times New Roman" w:hAnsi="Times New Roman"/>
                <w:color w:val="000000"/>
              </w:rPr>
              <w:t>biometanu</w:t>
            </w:r>
            <w:proofErr w:type="spellEnd"/>
            <w:r>
              <w:rPr>
                <w:rFonts w:ascii="Times New Roman" w:hAnsi="Times New Roman"/>
                <w:color w:val="000000"/>
              </w:rPr>
              <w:t xml:space="preserve"> </w:t>
            </w:r>
            <w:r w:rsidRPr="00687093">
              <w:rPr>
                <w:rFonts w:ascii="Times New Roman" w:hAnsi="Times New Roman"/>
                <w:color w:val="000000"/>
              </w:rPr>
              <w:t xml:space="preserve">oraz proponowanym narzędziem interwencji jest nowelizacja obowiązujących aktów prawnych </w:t>
            </w:r>
            <w:r w:rsidR="00F26A65">
              <w:rPr>
                <w:rFonts w:ascii="Times New Roman" w:hAnsi="Times New Roman"/>
                <w:color w:val="000000"/>
              </w:rPr>
              <w:t xml:space="preserve">dot. </w:t>
            </w:r>
            <w:r w:rsidRPr="00687093">
              <w:rPr>
                <w:rFonts w:ascii="Times New Roman" w:hAnsi="Times New Roman"/>
                <w:color w:val="000000"/>
              </w:rPr>
              <w:t>OZE oraz ustawy</w:t>
            </w:r>
            <w:r w:rsidR="00C466AA">
              <w:rPr>
                <w:rFonts w:ascii="Times New Roman" w:hAnsi="Times New Roman"/>
                <w:color w:val="000000"/>
              </w:rPr>
              <w:t xml:space="preserve"> </w:t>
            </w:r>
            <w:r w:rsidRPr="00903698">
              <w:rPr>
                <w:rFonts w:ascii="Times New Roman" w:hAnsi="Times New Roman"/>
                <w:bCs/>
              </w:rPr>
              <w:t>– Prawo energetyczne</w:t>
            </w:r>
            <w:r w:rsidRPr="00687093">
              <w:rPr>
                <w:rFonts w:ascii="Times New Roman" w:hAnsi="Times New Roman"/>
                <w:bCs/>
              </w:rPr>
              <w:t>.</w:t>
            </w:r>
          </w:p>
          <w:p w14:paraId="222463DD" w14:textId="2E86D706" w:rsidR="00EB79AD" w:rsidRPr="00EB79AD" w:rsidRDefault="00897727" w:rsidP="00EB79AD">
            <w:pPr>
              <w:spacing w:after="120" w:line="240" w:lineRule="auto"/>
              <w:jc w:val="both"/>
              <w:rPr>
                <w:rFonts w:ascii="Times New Roman" w:hAnsi="Times New Roman"/>
                <w:color w:val="000000"/>
                <w:spacing w:val="-2"/>
              </w:rPr>
            </w:pPr>
            <w:r w:rsidRPr="00EB79AD">
              <w:rPr>
                <w:rFonts w:ascii="Times New Roman" w:hAnsi="Times New Roman"/>
                <w:color w:val="000000"/>
                <w:spacing w:val="-2"/>
              </w:rPr>
              <w:t>Propozycj</w:t>
            </w:r>
            <w:r>
              <w:rPr>
                <w:rFonts w:ascii="Times New Roman" w:hAnsi="Times New Roman"/>
                <w:color w:val="000000"/>
                <w:spacing w:val="-2"/>
              </w:rPr>
              <w:t>ą</w:t>
            </w:r>
            <w:r w:rsidRPr="00EB79AD">
              <w:rPr>
                <w:rFonts w:ascii="Times New Roman" w:hAnsi="Times New Roman"/>
                <w:color w:val="000000"/>
                <w:spacing w:val="-2"/>
              </w:rPr>
              <w:t xml:space="preserve"> rekomendowa</w:t>
            </w:r>
            <w:r>
              <w:rPr>
                <w:rFonts w:ascii="Times New Roman" w:hAnsi="Times New Roman"/>
                <w:color w:val="000000"/>
                <w:spacing w:val="-2"/>
              </w:rPr>
              <w:t>ną</w:t>
            </w:r>
            <w:r w:rsidRPr="00EB79AD">
              <w:rPr>
                <w:rFonts w:ascii="Times New Roman" w:hAnsi="Times New Roman"/>
                <w:color w:val="000000"/>
                <w:spacing w:val="-2"/>
              </w:rPr>
              <w:t xml:space="preserve"> </w:t>
            </w:r>
            <w:r w:rsidR="00EB79AD" w:rsidRPr="00EB79AD">
              <w:rPr>
                <w:rFonts w:ascii="Times New Roman" w:hAnsi="Times New Roman"/>
                <w:color w:val="000000"/>
                <w:spacing w:val="-2"/>
              </w:rPr>
              <w:t xml:space="preserve">w zakresie zapewnienia dynamicznego rozwoju sektora wytwarzania </w:t>
            </w:r>
            <w:proofErr w:type="spellStart"/>
            <w:r w:rsidR="00EB79AD" w:rsidRPr="00EB79AD">
              <w:rPr>
                <w:rFonts w:ascii="Times New Roman" w:hAnsi="Times New Roman"/>
                <w:color w:val="000000"/>
                <w:spacing w:val="-2"/>
              </w:rPr>
              <w:t>biometanu</w:t>
            </w:r>
            <w:proofErr w:type="spellEnd"/>
            <w:r w:rsidR="00EB79AD" w:rsidRPr="00EB79AD">
              <w:rPr>
                <w:rFonts w:ascii="Times New Roman" w:hAnsi="Times New Roman"/>
                <w:color w:val="000000"/>
                <w:spacing w:val="-2"/>
              </w:rPr>
              <w:t xml:space="preserve"> </w:t>
            </w:r>
            <w:r>
              <w:rPr>
                <w:rFonts w:ascii="Times New Roman" w:hAnsi="Times New Roman"/>
                <w:color w:val="000000"/>
                <w:spacing w:val="-2"/>
              </w:rPr>
              <w:t>jest,</w:t>
            </w:r>
            <w:r w:rsidR="00EB79AD" w:rsidRPr="00EB79AD">
              <w:rPr>
                <w:rFonts w:ascii="Times New Roman" w:hAnsi="Times New Roman"/>
                <w:color w:val="000000"/>
                <w:spacing w:val="-2"/>
              </w:rPr>
              <w:t xml:space="preserve"> przede wszystkim</w:t>
            </w:r>
            <w:r>
              <w:rPr>
                <w:rFonts w:ascii="Times New Roman" w:hAnsi="Times New Roman"/>
                <w:color w:val="000000"/>
                <w:spacing w:val="-2"/>
              </w:rPr>
              <w:t>,</w:t>
            </w:r>
            <w:r w:rsidR="00EB79AD" w:rsidRPr="00EB79AD">
              <w:rPr>
                <w:rFonts w:ascii="Times New Roman" w:hAnsi="Times New Roman"/>
                <w:color w:val="000000"/>
                <w:spacing w:val="-2"/>
              </w:rPr>
              <w:t xml:space="preserve"> wprowadzenie rozwiązań prawnych w zakresie procedur administracyjnych dotyczących rejestrowania i monitorowania działalności gospodarczej w zakresie wytwarzania </w:t>
            </w:r>
            <w:proofErr w:type="spellStart"/>
            <w:r w:rsidR="00EB79AD" w:rsidRPr="00EB79AD">
              <w:rPr>
                <w:rFonts w:ascii="Times New Roman" w:hAnsi="Times New Roman"/>
                <w:color w:val="000000"/>
                <w:spacing w:val="-2"/>
              </w:rPr>
              <w:t>biometanu</w:t>
            </w:r>
            <w:proofErr w:type="spellEnd"/>
            <w:r w:rsidR="00EB79AD" w:rsidRPr="00EB79AD">
              <w:rPr>
                <w:rFonts w:ascii="Times New Roman" w:hAnsi="Times New Roman"/>
                <w:color w:val="000000"/>
                <w:spacing w:val="-2"/>
              </w:rPr>
              <w:t xml:space="preserve">. </w:t>
            </w:r>
          </w:p>
          <w:p w14:paraId="6917E24F" w14:textId="77777777" w:rsidR="00EB79AD" w:rsidRPr="00687093" w:rsidRDefault="00EB79AD" w:rsidP="00EB79AD">
            <w:pPr>
              <w:spacing w:line="240" w:lineRule="auto"/>
              <w:jc w:val="both"/>
              <w:rPr>
                <w:rFonts w:ascii="Times New Roman" w:hAnsi="Times New Roman"/>
                <w:bCs/>
              </w:rPr>
            </w:pPr>
            <w:r w:rsidRPr="00687093">
              <w:rPr>
                <w:rFonts w:ascii="Times New Roman" w:hAnsi="Times New Roman"/>
                <w:bCs/>
              </w:rPr>
              <w:t xml:space="preserve">Szczegółowy zakres zmian ujętych w projekcie ustawy stymulujących rozwój sektora </w:t>
            </w:r>
            <w:proofErr w:type="spellStart"/>
            <w:r w:rsidRPr="00687093">
              <w:rPr>
                <w:rFonts w:ascii="Times New Roman" w:hAnsi="Times New Roman"/>
                <w:bCs/>
              </w:rPr>
              <w:t>biometanu</w:t>
            </w:r>
            <w:proofErr w:type="spellEnd"/>
            <w:r w:rsidRPr="00687093">
              <w:rPr>
                <w:rFonts w:ascii="Times New Roman" w:hAnsi="Times New Roman"/>
                <w:bCs/>
              </w:rPr>
              <w:t xml:space="preserve"> obejmuje:</w:t>
            </w:r>
          </w:p>
          <w:p w14:paraId="5451E669" w14:textId="6B01470A"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 xml:space="preserve">wprowadzenie definicji </w:t>
            </w:r>
            <w:proofErr w:type="spellStart"/>
            <w:r w:rsidRPr="00687093">
              <w:rPr>
                <w:rFonts w:ascii="Times New Roman" w:hAnsi="Times New Roman"/>
                <w:bCs/>
              </w:rPr>
              <w:t>biometanu</w:t>
            </w:r>
            <w:proofErr w:type="spellEnd"/>
            <w:r w:rsidRPr="00687093">
              <w:rPr>
                <w:rFonts w:ascii="Times New Roman" w:hAnsi="Times New Roman"/>
                <w:bCs/>
              </w:rPr>
              <w:t xml:space="preserve"> oraz wyłączenie pojęcia biogaz rolniczy z definicji biogazu; w związku z wprowadzeniem pojęcia </w:t>
            </w:r>
            <w:proofErr w:type="spellStart"/>
            <w:r w:rsidRPr="00903698">
              <w:rPr>
                <w:rFonts w:ascii="Times New Roman" w:hAnsi="Times New Roman"/>
                <w:bCs/>
              </w:rPr>
              <w:t>biometan</w:t>
            </w:r>
            <w:proofErr w:type="spellEnd"/>
            <w:r w:rsidRPr="00687093">
              <w:rPr>
                <w:rFonts w:ascii="Times New Roman" w:hAnsi="Times New Roman"/>
                <w:bCs/>
              </w:rPr>
              <w:t xml:space="preserve"> – wprowadzono również zmiany w ustawie </w:t>
            </w:r>
            <w:r w:rsidRPr="00903698">
              <w:rPr>
                <w:rFonts w:ascii="Times New Roman" w:hAnsi="Times New Roman"/>
                <w:bCs/>
              </w:rPr>
              <w:t>– Prawo energetyczne</w:t>
            </w:r>
            <w:r w:rsidRPr="00687093">
              <w:rPr>
                <w:rFonts w:ascii="Times New Roman" w:hAnsi="Times New Roman"/>
                <w:bCs/>
              </w:rPr>
              <w:t xml:space="preserve"> w zakresie pojęcia</w:t>
            </w:r>
            <w:r w:rsidR="001C4B99">
              <w:rPr>
                <w:rFonts w:ascii="Times New Roman" w:hAnsi="Times New Roman"/>
                <w:bCs/>
              </w:rPr>
              <w:t>:</w:t>
            </w:r>
            <w:r w:rsidRPr="00687093">
              <w:rPr>
                <w:rFonts w:ascii="Times New Roman" w:hAnsi="Times New Roman"/>
                <w:bCs/>
              </w:rPr>
              <w:t xml:space="preserve"> paliwo gazowe;</w:t>
            </w:r>
          </w:p>
          <w:p w14:paraId="650131B2"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lastRenderedPageBreak/>
              <w:t xml:space="preserve">określenie zasad prowadzenia działalności gospodarczej w zakresie wytwarzania biogazu lub </w:t>
            </w:r>
            <w:proofErr w:type="spellStart"/>
            <w:r w:rsidRPr="00687093">
              <w:rPr>
                <w:rFonts w:ascii="Times New Roman" w:hAnsi="Times New Roman"/>
                <w:bCs/>
              </w:rPr>
              <w:t>biometanu</w:t>
            </w:r>
            <w:proofErr w:type="spellEnd"/>
            <w:r w:rsidRPr="00687093">
              <w:rPr>
                <w:rFonts w:ascii="Times New Roman" w:hAnsi="Times New Roman"/>
                <w:bCs/>
              </w:rPr>
              <w:t xml:space="preserve"> z biogazu – poprzez utworzenie „rejestru wytwórców biogazu” prowadzonego przez Prezesa Urzędu Regulacji Energetyki, zwanego dalej „Prezesem URE”;</w:t>
            </w:r>
          </w:p>
          <w:p w14:paraId="79DC548D"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 xml:space="preserve">rozszerzenie zakresu rozdziału 3 ustawy OZE (zasady i warunki wykonywania działalności w zakresie wytwarzania energii elektrycznej z biogazu rolniczego lub </w:t>
            </w:r>
            <w:proofErr w:type="spellStart"/>
            <w:r w:rsidRPr="00687093">
              <w:rPr>
                <w:rFonts w:ascii="Times New Roman" w:hAnsi="Times New Roman"/>
                <w:bCs/>
              </w:rPr>
              <w:t>biopłynów</w:t>
            </w:r>
            <w:proofErr w:type="spellEnd"/>
            <w:r w:rsidRPr="00687093">
              <w:rPr>
                <w:rFonts w:ascii="Times New Roman" w:hAnsi="Times New Roman"/>
                <w:bCs/>
              </w:rPr>
              <w:t xml:space="preserve"> oraz wytwarzania biogazu rolniczego lub </w:t>
            </w:r>
            <w:proofErr w:type="spellStart"/>
            <w:r w:rsidRPr="00687093">
              <w:rPr>
                <w:rFonts w:ascii="Times New Roman" w:hAnsi="Times New Roman"/>
                <w:bCs/>
              </w:rPr>
              <w:t>biopłynów</w:t>
            </w:r>
            <w:proofErr w:type="spellEnd"/>
            <w:r w:rsidRPr="00687093">
              <w:rPr>
                <w:rFonts w:ascii="Times New Roman" w:hAnsi="Times New Roman"/>
                <w:bCs/>
              </w:rPr>
              <w:t xml:space="preserve">) o zasady i warunki wykonywania działalności gospodarczej w zakresie wytwarzania </w:t>
            </w:r>
            <w:proofErr w:type="spellStart"/>
            <w:r w:rsidRPr="00687093">
              <w:rPr>
                <w:rFonts w:ascii="Times New Roman" w:hAnsi="Times New Roman"/>
                <w:bCs/>
              </w:rPr>
              <w:t>biometanu</w:t>
            </w:r>
            <w:proofErr w:type="spellEnd"/>
            <w:r w:rsidRPr="00687093">
              <w:rPr>
                <w:rFonts w:ascii="Times New Roman" w:hAnsi="Times New Roman"/>
                <w:bCs/>
              </w:rPr>
              <w:t xml:space="preserve"> z biogazu rolniczego – art. 24 ustawy OZE i kolejne</w:t>
            </w:r>
            <w:r>
              <w:rPr>
                <w:rFonts w:ascii="Times New Roman" w:hAnsi="Times New Roman"/>
                <w:bCs/>
              </w:rPr>
              <w:t xml:space="preserve">, w szczególności poszerzenie zakresu podmiotowego rejestru wytwórców biogazu rolniczego o wytwórców </w:t>
            </w:r>
            <w:proofErr w:type="spellStart"/>
            <w:r>
              <w:rPr>
                <w:rFonts w:ascii="Times New Roman" w:hAnsi="Times New Roman"/>
                <w:bCs/>
              </w:rPr>
              <w:t>biometanu</w:t>
            </w:r>
            <w:proofErr w:type="spellEnd"/>
            <w:r>
              <w:rPr>
                <w:rFonts w:ascii="Times New Roman" w:hAnsi="Times New Roman"/>
                <w:bCs/>
              </w:rPr>
              <w:t xml:space="preserve"> z biogazu rolniczego;</w:t>
            </w:r>
          </w:p>
          <w:p w14:paraId="14A48BBA"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 xml:space="preserve">poszerzenie obszaru działalności spółdzielni energetycznych o możliwość wytwarzania </w:t>
            </w:r>
            <w:proofErr w:type="spellStart"/>
            <w:r w:rsidRPr="00687093">
              <w:rPr>
                <w:rFonts w:ascii="Times New Roman" w:hAnsi="Times New Roman"/>
                <w:bCs/>
              </w:rPr>
              <w:t>biometanu</w:t>
            </w:r>
            <w:proofErr w:type="spellEnd"/>
            <w:r w:rsidRPr="00687093">
              <w:rPr>
                <w:rFonts w:ascii="Times New Roman" w:hAnsi="Times New Roman"/>
                <w:bCs/>
              </w:rPr>
              <w:t>;</w:t>
            </w:r>
          </w:p>
          <w:p w14:paraId="079124A2"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uchylenie przepisów dotyczących wniosku o wydanie urzędowego potwierdzenia efektu zachęty (art. 47a ustawy OZE) oraz przepisów mówiących o świadectwie pochodzenia biogazu rolniczego (art. 48 ustawy OZE i kolejne);</w:t>
            </w:r>
          </w:p>
          <w:p w14:paraId="663707F5" w14:textId="77777777" w:rsidR="00EB79AD" w:rsidRPr="00687093" w:rsidRDefault="00EB79AD" w:rsidP="00EB79AD">
            <w:pPr>
              <w:pStyle w:val="Akapitzlist"/>
              <w:numPr>
                <w:ilvl w:val="0"/>
                <w:numId w:val="131"/>
              </w:numPr>
              <w:spacing w:line="240" w:lineRule="auto"/>
              <w:jc w:val="both"/>
              <w:rPr>
                <w:rFonts w:ascii="Times New Roman" w:hAnsi="Times New Roman"/>
                <w:bCs/>
              </w:rPr>
            </w:pPr>
            <w:r w:rsidRPr="00687093">
              <w:rPr>
                <w:rFonts w:ascii="Times New Roman" w:hAnsi="Times New Roman"/>
                <w:bCs/>
              </w:rPr>
              <w:t xml:space="preserve">wprowadzenie gwarancji pochodzenia dla </w:t>
            </w:r>
            <w:proofErr w:type="spellStart"/>
            <w:r w:rsidRPr="00687093">
              <w:rPr>
                <w:rFonts w:ascii="Times New Roman" w:hAnsi="Times New Roman"/>
                <w:bCs/>
              </w:rPr>
              <w:t>biometanu</w:t>
            </w:r>
            <w:proofErr w:type="spellEnd"/>
            <w:r>
              <w:rPr>
                <w:rFonts w:ascii="Times New Roman" w:hAnsi="Times New Roman"/>
                <w:bCs/>
              </w:rPr>
              <w:t xml:space="preserve"> i poszerzenie zakresu przedmiotowego rejestru gwarancji pochodzenia o dane dotyczące gwarancji pochodzenia </w:t>
            </w:r>
            <w:proofErr w:type="spellStart"/>
            <w:r>
              <w:rPr>
                <w:rFonts w:ascii="Times New Roman" w:hAnsi="Times New Roman"/>
                <w:bCs/>
              </w:rPr>
              <w:t>biometanu</w:t>
            </w:r>
            <w:proofErr w:type="spellEnd"/>
            <w:r w:rsidRPr="00687093">
              <w:rPr>
                <w:rFonts w:ascii="Times New Roman" w:hAnsi="Times New Roman"/>
                <w:bCs/>
              </w:rPr>
              <w:t>;</w:t>
            </w:r>
          </w:p>
          <w:p w14:paraId="6839292E" w14:textId="2B0F48AA" w:rsidR="00EB79AD" w:rsidRPr="00687093" w:rsidRDefault="00EB79AD" w:rsidP="00135BC8">
            <w:pPr>
              <w:pStyle w:val="Akapitzlist"/>
              <w:numPr>
                <w:ilvl w:val="0"/>
                <w:numId w:val="131"/>
              </w:numPr>
              <w:spacing w:after="120" w:line="240" w:lineRule="auto"/>
              <w:jc w:val="both"/>
              <w:rPr>
                <w:rFonts w:ascii="Times New Roman" w:hAnsi="Times New Roman"/>
                <w:bCs/>
              </w:rPr>
            </w:pPr>
            <w:r w:rsidRPr="00687093">
              <w:rPr>
                <w:rFonts w:ascii="Times New Roman" w:hAnsi="Times New Roman"/>
                <w:bCs/>
              </w:rPr>
              <w:t xml:space="preserve">zmiana definicji paliw gazowych w ustawie - </w:t>
            </w:r>
            <w:r w:rsidRPr="00903698">
              <w:rPr>
                <w:rFonts w:ascii="Times New Roman" w:hAnsi="Times New Roman"/>
                <w:bCs/>
              </w:rPr>
              <w:t>Prawo energetyczne</w:t>
            </w:r>
            <w:r>
              <w:rPr>
                <w:rFonts w:ascii="Times New Roman" w:hAnsi="Times New Roman"/>
                <w:bCs/>
              </w:rPr>
              <w:t>.</w:t>
            </w:r>
          </w:p>
          <w:p w14:paraId="7F578201" w14:textId="77777777" w:rsidR="00EB79AD" w:rsidRPr="000D3F79" w:rsidRDefault="00EB79AD" w:rsidP="00EB79AD">
            <w:pPr>
              <w:spacing w:line="240" w:lineRule="auto"/>
              <w:jc w:val="both"/>
              <w:rPr>
                <w:rFonts w:ascii="Times New Roman" w:hAnsi="Times New Roman"/>
                <w:bCs/>
                <w:iCs/>
                <w:color w:val="000000"/>
                <w:spacing w:val="-2"/>
                <w:u w:val="single"/>
              </w:rPr>
            </w:pPr>
            <w:r w:rsidRPr="000D3F79">
              <w:rPr>
                <w:rFonts w:ascii="Times New Roman" w:hAnsi="Times New Roman"/>
                <w:bCs/>
                <w:iCs/>
                <w:color w:val="000000"/>
                <w:spacing w:val="-2"/>
                <w:u w:val="single"/>
              </w:rPr>
              <w:t xml:space="preserve">Wprowadzenie definicji pojęć oraz procedur umożliwiających prowadzenie działalności gospodarczej w zakresie wytwarzania </w:t>
            </w:r>
            <w:proofErr w:type="spellStart"/>
            <w:r w:rsidRPr="000D3F79">
              <w:rPr>
                <w:rFonts w:ascii="Times New Roman" w:hAnsi="Times New Roman"/>
                <w:bCs/>
                <w:iCs/>
                <w:color w:val="000000"/>
                <w:spacing w:val="-2"/>
                <w:u w:val="single"/>
              </w:rPr>
              <w:t>biometanu</w:t>
            </w:r>
            <w:proofErr w:type="spellEnd"/>
            <w:r w:rsidRPr="000D3F79">
              <w:rPr>
                <w:rFonts w:ascii="Times New Roman" w:hAnsi="Times New Roman"/>
                <w:bCs/>
                <w:iCs/>
                <w:color w:val="000000"/>
                <w:spacing w:val="-2"/>
                <w:u w:val="single"/>
              </w:rPr>
              <w:t xml:space="preserve"> </w:t>
            </w:r>
          </w:p>
          <w:p w14:paraId="5B234AFC" w14:textId="77777777" w:rsidR="00EB79AD" w:rsidRPr="00687093" w:rsidRDefault="00EB79AD" w:rsidP="00EB79AD">
            <w:pPr>
              <w:spacing w:after="120" w:line="240" w:lineRule="auto"/>
              <w:jc w:val="both"/>
              <w:rPr>
                <w:rFonts w:ascii="Times New Roman" w:hAnsi="Times New Roman"/>
              </w:rPr>
            </w:pPr>
            <w:r w:rsidRPr="00687093">
              <w:rPr>
                <w:rFonts w:ascii="Times New Roman" w:hAnsi="Times New Roman"/>
                <w:color w:val="000000"/>
                <w:spacing w:val="-2"/>
              </w:rPr>
              <w:t xml:space="preserve">Istotną kwestią, mającą na celu uporządkowanie formalno-prawne rozwoju sektora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jest wprowadzenie definicji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obejmującej biogaz oraz biogaz rolniczy poddany procesowi oczyszczenia, pozwalającego na wprowadzenie go do sieci gazowych. Zaproponowana definicja, w połączeniu z odwołaniem do obowiązku określenia parametrów jakościowych dla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w ramach rozporządzenia wydawanego na podstawie </w:t>
            </w:r>
            <w:r w:rsidRPr="00687093">
              <w:rPr>
                <w:rFonts w:ascii="Times New Roman" w:hAnsi="Times New Roman"/>
              </w:rPr>
              <w:t xml:space="preserve">art. 9 ust. 1 i 2 ustawy – </w:t>
            </w:r>
            <w:r w:rsidRPr="00903698">
              <w:rPr>
                <w:rFonts w:ascii="Times New Roman" w:hAnsi="Times New Roman"/>
              </w:rPr>
              <w:t>Prawo energetyczne</w:t>
            </w:r>
            <w:r w:rsidRPr="00687093">
              <w:rPr>
                <w:rFonts w:ascii="Times New Roman" w:hAnsi="Times New Roman"/>
              </w:rPr>
              <w:t xml:space="preserve"> oraz rozszerzeniem definicji pojęcia „paliwa gazowe” w tej ustawie, pozwala na dokonanie harmonizacji wymogów dla nowego rodzaju paliwa gazowego. Celem tego jest, ułatwienie prowadzenia działalności gospodarczej, w</w:t>
            </w:r>
            <w:r>
              <w:rPr>
                <w:rFonts w:ascii="Times New Roman" w:hAnsi="Times New Roman"/>
              </w:rPr>
              <w:t> </w:t>
            </w:r>
            <w:r w:rsidRPr="00687093">
              <w:rPr>
                <w:rFonts w:ascii="Times New Roman" w:hAnsi="Times New Roman"/>
              </w:rPr>
              <w:t>tym, m.in. usprawnienie i ujednolicenie procedur związanym z pozyskaniem decyzji w sprawie przyłączy do sieci gazowej.</w:t>
            </w:r>
          </w:p>
          <w:p w14:paraId="740091AA" w14:textId="77777777" w:rsidR="00EB79AD" w:rsidRPr="00687093" w:rsidRDefault="00EB79AD" w:rsidP="00EB79AD">
            <w:pPr>
              <w:spacing w:after="120" w:line="240" w:lineRule="auto"/>
              <w:jc w:val="both"/>
              <w:rPr>
                <w:rFonts w:ascii="Times New Roman" w:hAnsi="Times New Roman"/>
              </w:rPr>
            </w:pPr>
            <w:r w:rsidRPr="00687093">
              <w:rPr>
                <w:rFonts w:ascii="Times New Roman" w:hAnsi="Times New Roman"/>
              </w:rPr>
              <w:t xml:space="preserve">Konsekwencją wprowadzenia definicji </w:t>
            </w:r>
            <w:proofErr w:type="spellStart"/>
            <w:r w:rsidRPr="00687093">
              <w:rPr>
                <w:rFonts w:ascii="Times New Roman" w:hAnsi="Times New Roman"/>
              </w:rPr>
              <w:t>biometanu</w:t>
            </w:r>
            <w:proofErr w:type="spellEnd"/>
            <w:r w:rsidRPr="00687093">
              <w:rPr>
                <w:rFonts w:ascii="Times New Roman" w:hAnsi="Times New Roman"/>
              </w:rPr>
              <w:t xml:space="preserve"> w projekcie ustawy jest wprowadzenie przepisów określających zasady prowadzenia działalności gospodarczej w zakresie wytwarzania </w:t>
            </w:r>
            <w:proofErr w:type="spellStart"/>
            <w:r w:rsidRPr="00687093">
              <w:rPr>
                <w:rFonts w:ascii="Times New Roman" w:hAnsi="Times New Roman"/>
              </w:rPr>
              <w:t>biometanu</w:t>
            </w:r>
            <w:proofErr w:type="spellEnd"/>
            <w:r w:rsidRPr="00687093">
              <w:rPr>
                <w:rFonts w:ascii="Times New Roman" w:hAnsi="Times New Roman"/>
              </w:rPr>
              <w:t xml:space="preserve">, z wyraźnym rozdzieleniem tej działalności na dwa obszary, które zostały uzależnione od rodzaju surowca wykorzystywanego do wytwarzania </w:t>
            </w:r>
            <w:proofErr w:type="spellStart"/>
            <w:r w:rsidRPr="00687093">
              <w:rPr>
                <w:rFonts w:ascii="Times New Roman" w:hAnsi="Times New Roman"/>
              </w:rPr>
              <w:t>biometanu</w:t>
            </w:r>
            <w:proofErr w:type="spellEnd"/>
            <w:r w:rsidRPr="00687093">
              <w:rPr>
                <w:rFonts w:ascii="Times New Roman" w:hAnsi="Times New Roman"/>
              </w:rPr>
              <w:t xml:space="preserve">, tj. biogazu (podlegającego wpisowi do rejestru prowadzonego przez Prezesa URE) oraz biogazu rolniczego (podlegającego wpisowi do rejestru prowadzonego przez Dyrektora Generalnego Krajowego Ośrodka Wsparcia Rolnictwa, zwanego dalej „KOWR”). </w:t>
            </w:r>
          </w:p>
          <w:p w14:paraId="54E12B15" w14:textId="77777777" w:rsidR="00EB79AD" w:rsidRPr="00687093" w:rsidRDefault="00EB79AD" w:rsidP="00EB79AD">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Zaproponowane podejście, z jednej strony upraszcza obowiązki spoczywające na wytwórcach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w stosunku do wymogów, wobec których istnieje obowiązek uzyskania koncesji, zaś z drugiej umożliwia rejestrowanie i monitorowanie rynku przez organy administracji państwowej w sposób uporządkowany. W połączeniu z przepisami w zakresie kar za naruszenie obowiązków rejestracyjnych oraz przepisami określającymi zakres wymagań sprawozdawczych, projekt przepisów wprowadza spójny system umożliwiający sprawowanie nadzoru nad sektorem – co jest szczególnie istotne w kontekście planowanych programów pomocowych oraz wiarygodności danych uwzględnianych do monitorowania poziomu udziału OZE przedkładanych do Komisji Europejskiej.</w:t>
            </w:r>
          </w:p>
          <w:p w14:paraId="5D3E9613" w14:textId="77777777" w:rsidR="00EB79AD" w:rsidRDefault="00EB79AD" w:rsidP="00EB79AD">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Oczekiwanym efektem przyjęcia ww. rozwiązań dotyczących doprecyzowania zasad prowadzenia działalności gospodarczej w zakresie wytwarzania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poza ujednoliceniem procedur, będzie zwiększenie przejrzystości prowadzenia tego typu działalności gospodarczej, co w przyszłości przyczyni się do wzrostu zainteresowania ze strony inwestorów.</w:t>
            </w:r>
          </w:p>
          <w:p w14:paraId="451041C0" w14:textId="77777777" w:rsidR="00EB79AD" w:rsidRPr="000D3F79" w:rsidRDefault="00EB79AD" w:rsidP="00EB79AD">
            <w:pPr>
              <w:spacing w:line="240" w:lineRule="auto"/>
              <w:jc w:val="both"/>
              <w:rPr>
                <w:rFonts w:ascii="Times New Roman" w:hAnsi="Times New Roman"/>
                <w:bCs/>
                <w:color w:val="000000"/>
                <w:spacing w:val="-2"/>
                <w:u w:val="single"/>
              </w:rPr>
            </w:pPr>
            <w:r w:rsidRPr="000D3F79">
              <w:rPr>
                <w:rFonts w:ascii="Times New Roman" w:hAnsi="Times New Roman"/>
                <w:bCs/>
                <w:color w:val="000000"/>
                <w:spacing w:val="-2"/>
                <w:u w:val="single"/>
              </w:rPr>
              <w:t xml:space="preserve">Usprawnienia w zakresie postępowań związanych z pozyskaniem decyzji w sprawie przyłączania instalacji wytwarzających </w:t>
            </w:r>
            <w:proofErr w:type="spellStart"/>
            <w:r w:rsidRPr="000D3F79">
              <w:rPr>
                <w:rFonts w:ascii="Times New Roman" w:hAnsi="Times New Roman"/>
                <w:bCs/>
                <w:color w:val="000000"/>
                <w:spacing w:val="-2"/>
                <w:u w:val="single"/>
              </w:rPr>
              <w:t>biometan</w:t>
            </w:r>
            <w:proofErr w:type="spellEnd"/>
            <w:r w:rsidRPr="000D3F79">
              <w:rPr>
                <w:rFonts w:ascii="Times New Roman" w:hAnsi="Times New Roman"/>
                <w:bCs/>
                <w:color w:val="000000"/>
                <w:spacing w:val="-2"/>
                <w:u w:val="single"/>
              </w:rPr>
              <w:t xml:space="preserve"> do sieci gazowej</w:t>
            </w:r>
          </w:p>
          <w:p w14:paraId="1BB73D57" w14:textId="77777777" w:rsidR="00EB79AD" w:rsidRPr="00B16D6A" w:rsidRDefault="00EB79AD" w:rsidP="00EB79AD">
            <w:pPr>
              <w:spacing w:after="120" w:line="240" w:lineRule="auto"/>
              <w:jc w:val="both"/>
              <w:rPr>
                <w:rFonts w:ascii="Times New Roman" w:hAnsi="Times New Roman"/>
              </w:rPr>
            </w:pPr>
            <w:r>
              <w:rPr>
                <w:rFonts w:ascii="Times New Roman" w:hAnsi="Times New Roman"/>
                <w:color w:val="000000"/>
                <w:spacing w:val="-2"/>
              </w:rPr>
              <w:t xml:space="preserve">Projekt zawiera rozwiązania, których wejście w życie będzie korzystnie wpływać na ilość pozytywnych decyzji w sprawie przyłączy instalacji wytwarzających </w:t>
            </w:r>
            <w:proofErr w:type="spellStart"/>
            <w:r>
              <w:rPr>
                <w:rFonts w:ascii="Times New Roman" w:hAnsi="Times New Roman"/>
                <w:color w:val="000000"/>
                <w:spacing w:val="-2"/>
              </w:rPr>
              <w:t>biometan</w:t>
            </w:r>
            <w:proofErr w:type="spellEnd"/>
            <w:r>
              <w:rPr>
                <w:rFonts w:ascii="Times New Roman" w:hAnsi="Times New Roman"/>
                <w:color w:val="000000"/>
                <w:spacing w:val="-2"/>
              </w:rPr>
              <w:t xml:space="preserve"> do sieci gazow</w:t>
            </w:r>
            <w:r w:rsidRPr="00B16D6A">
              <w:rPr>
                <w:rFonts w:ascii="Times New Roman" w:hAnsi="Times New Roman"/>
                <w:color w:val="000000"/>
                <w:spacing w:val="-2"/>
              </w:rPr>
              <w:t xml:space="preserve">ej. </w:t>
            </w:r>
            <w:r>
              <w:rPr>
                <w:rFonts w:ascii="Times New Roman" w:hAnsi="Times New Roman"/>
              </w:rPr>
              <w:t>W</w:t>
            </w:r>
            <w:r w:rsidRPr="00B16D6A">
              <w:rPr>
                <w:rFonts w:ascii="Times New Roman" w:hAnsi="Times New Roman"/>
              </w:rPr>
              <w:t xml:space="preserve">prowadzenie definicji </w:t>
            </w:r>
            <w:proofErr w:type="spellStart"/>
            <w:r w:rsidRPr="00B16D6A">
              <w:rPr>
                <w:rFonts w:ascii="Times New Roman" w:hAnsi="Times New Roman"/>
              </w:rPr>
              <w:t>biometanu</w:t>
            </w:r>
            <w:proofErr w:type="spellEnd"/>
            <w:r w:rsidRPr="00B16D6A">
              <w:rPr>
                <w:rFonts w:ascii="Times New Roman" w:hAnsi="Times New Roman"/>
              </w:rPr>
              <w:t xml:space="preserve"> należy rozpatrywać łącznie z obowiązkiem </w:t>
            </w:r>
            <w:r w:rsidRPr="00B16D6A">
              <w:rPr>
                <w:rFonts w:ascii="Times New Roman" w:hAnsi="Times New Roman"/>
                <w:color w:val="000000"/>
                <w:spacing w:val="-2"/>
              </w:rPr>
              <w:t xml:space="preserve">określenia parametrów jakościowych dla tego paliwa gazowego w ramach delegacji do wydania rozporządzenia na podstawie </w:t>
            </w:r>
            <w:r w:rsidRPr="00B16D6A">
              <w:rPr>
                <w:rFonts w:ascii="Times New Roman" w:hAnsi="Times New Roman"/>
              </w:rPr>
              <w:t xml:space="preserve">art. 9 ust. 1 i 2 ustawy – Prawo energetyczne. Usprawnienie i ujednolicenie procedur związanych z pozyskaniem decyzji w sprawie przyłączy do sieci gazowych polega w tym przypadku na zapewnieniu zharmonizowanego podejścia w zakresie wymaganego przez każdego operatora sieci gazowej zestawu parametrów jakościowych jakie należy spełnić, aby </w:t>
            </w:r>
            <w:proofErr w:type="spellStart"/>
            <w:r w:rsidRPr="00B16D6A">
              <w:rPr>
                <w:rFonts w:ascii="Times New Roman" w:hAnsi="Times New Roman"/>
              </w:rPr>
              <w:t>biometan</w:t>
            </w:r>
            <w:proofErr w:type="spellEnd"/>
            <w:r w:rsidRPr="00B16D6A">
              <w:rPr>
                <w:rFonts w:ascii="Times New Roman" w:hAnsi="Times New Roman"/>
              </w:rPr>
              <w:t xml:space="preserve"> mógł być wprowadzany do tej sieci.</w:t>
            </w:r>
          </w:p>
          <w:p w14:paraId="5FB8FD3C"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Zaproponowane rozwiązanie jest efektem przeprowadzonej analizy dotychczasowej sytuacji w zakresie warunków przyłączenia do sieci gazowej udzielanych potencjalnym inwestorom, które znacznie się różniły w przypadku poszczególnych operatorów sieciowych a nawet poszczególnych lokalizacji sieciowych znajdujących się w gestii pojedynczego operatora. </w:t>
            </w:r>
          </w:p>
          <w:p w14:paraId="56D7BD57" w14:textId="74CC0DCE"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Kolejnym rozwiązaniem usprawniającym proces pozyskiwania pozytywnej decyzji w sprawie przyłączenia do sieci gazowej, jest wprowadzenie do ustawy – Prawo energetyczne </w:t>
            </w:r>
            <w:r w:rsidR="00195853">
              <w:rPr>
                <w:rFonts w:ascii="Times New Roman" w:hAnsi="Times New Roman"/>
              </w:rPr>
              <w:t>przepisu</w:t>
            </w:r>
            <w:r w:rsidRPr="00B16D6A">
              <w:rPr>
                <w:rFonts w:ascii="Times New Roman" w:hAnsi="Times New Roman"/>
              </w:rPr>
              <w:t xml:space="preserve">, zgodnie z którym w przypadku wydania odmowy zawarcia umowy o przyłączenie instalacji służącej do wytwarzania </w:t>
            </w:r>
            <w:proofErr w:type="spellStart"/>
            <w:r w:rsidRPr="00B16D6A">
              <w:rPr>
                <w:rFonts w:ascii="Times New Roman" w:hAnsi="Times New Roman"/>
              </w:rPr>
              <w:t>biometanu</w:t>
            </w:r>
            <w:proofErr w:type="spellEnd"/>
            <w:r w:rsidRPr="00B16D6A">
              <w:rPr>
                <w:rFonts w:ascii="Times New Roman" w:hAnsi="Times New Roman"/>
              </w:rPr>
              <w:t xml:space="preserve"> z powodu braku technicznych lub </w:t>
            </w:r>
            <w:r w:rsidRPr="00B16D6A">
              <w:rPr>
                <w:rFonts w:ascii="Times New Roman" w:hAnsi="Times New Roman"/>
              </w:rPr>
              <w:lastRenderedPageBreak/>
              <w:t>ekonomicznych warunków przyłączenia do sieci i odbioru we wskazanej przez wnioskodawcę lokalizacji, operator sieciowy jest zobowiązany wskazać wnioskodawcy najbliższą lokalizację, w której takie przyłączenie jest możliwe.</w:t>
            </w:r>
          </w:p>
          <w:p w14:paraId="2D878494"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Zaproponowane rozwiązania nie wpłyną na tempo przebiegu procesu decyzyjnego dotyczącego postepowań w sprawie przyłączy (liczony w dniach), natomiast z pewnością zapewni większą transparentność procesu umożliwiając efektywniej zaplanować podejmowane działania poszczególnym inwestorom. </w:t>
            </w:r>
          </w:p>
          <w:p w14:paraId="42F5F0AA" w14:textId="77777777" w:rsidR="00EB79AD" w:rsidRPr="00B16D6A" w:rsidRDefault="00EB79AD" w:rsidP="00EB79AD">
            <w:pPr>
              <w:spacing w:after="120" w:line="240" w:lineRule="auto"/>
              <w:jc w:val="both"/>
              <w:rPr>
                <w:rFonts w:ascii="Times New Roman" w:hAnsi="Times New Roman"/>
              </w:rPr>
            </w:pPr>
            <w:r w:rsidRPr="00B16D6A">
              <w:rPr>
                <w:rFonts w:ascii="Times New Roman" w:hAnsi="Times New Roman"/>
              </w:rPr>
              <w:t xml:space="preserve">W celu wypracowania kolejnych, systemowych rozwiązań, mających na celu zapewnienie efektywnej integracji zakładów wytwarzających </w:t>
            </w:r>
            <w:proofErr w:type="spellStart"/>
            <w:r w:rsidRPr="00B16D6A">
              <w:rPr>
                <w:rFonts w:ascii="Times New Roman" w:hAnsi="Times New Roman"/>
              </w:rPr>
              <w:t>biometan</w:t>
            </w:r>
            <w:proofErr w:type="spellEnd"/>
            <w:r w:rsidRPr="00B16D6A">
              <w:rPr>
                <w:rFonts w:ascii="Times New Roman" w:hAnsi="Times New Roman"/>
              </w:rPr>
              <w:t xml:space="preserve"> z sieciami gazowymi, prowadzone są aktualnie prace grup roboczych powołanych w ramach działań związanych z budową Partnerstwa dla sektora gazowego w Polsce.</w:t>
            </w:r>
            <w:r>
              <w:rPr>
                <w:rFonts w:ascii="Times New Roman" w:hAnsi="Times New Roman"/>
              </w:rPr>
              <w:t xml:space="preserve"> </w:t>
            </w:r>
          </w:p>
          <w:p w14:paraId="701E8DDC" w14:textId="77777777" w:rsidR="00EB79AD" w:rsidRPr="000D3F79" w:rsidRDefault="00EB79AD" w:rsidP="00EB79AD">
            <w:pPr>
              <w:spacing w:line="240" w:lineRule="auto"/>
              <w:jc w:val="both"/>
              <w:rPr>
                <w:rFonts w:ascii="Times New Roman" w:hAnsi="Times New Roman"/>
                <w:bCs/>
                <w:iCs/>
                <w:color w:val="000000"/>
                <w:spacing w:val="-2"/>
                <w:u w:val="single"/>
              </w:rPr>
            </w:pPr>
            <w:r w:rsidRPr="000D3F79">
              <w:rPr>
                <w:rFonts w:ascii="Times New Roman" w:hAnsi="Times New Roman"/>
                <w:bCs/>
                <w:iCs/>
                <w:color w:val="000000"/>
                <w:spacing w:val="-2"/>
                <w:u w:val="single"/>
              </w:rPr>
              <w:t xml:space="preserve">Wpływ rozwiązań dotyczących rozwoju sektora </w:t>
            </w:r>
            <w:proofErr w:type="spellStart"/>
            <w:r w:rsidRPr="000D3F79">
              <w:rPr>
                <w:rFonts w:ascii="Times New Roman" w:hAnsi="Times New Roman"/>
                <w:bCs/>
                <w:iCs/>
                <w:color w:val="000000"/>
                <w:spacing w:val="-2"/>
                <w:u w:val="single"/>
              </w:rPr>
              <w:t>biometanu</w:t>
            </w:r>
            <w:proofErr w:type="spellEnd"/>
            <w:r w:rsidRPr="000D3F79">
              <w:rPr>
                <w:rFonts w:ascii="Times New Roman" w:hAnsi="Times New Roman"/>
                <w:bCs/>
                <w:iCs/>
                <w:color w:val="000000"/>
                <w:spacing w:val="-2"/>
                <w:u w:val="single"/>
              </w:rPr>
              <w:t xml:space="preserve"> na strukturę realizacji celów OZE do roku 2030 </w:t>
            </w:r>
          </w:p>
          <w:p w14:paraId="5F352489" w14:textId="77777777" w:rsidR="00EB79AD" w:rsidRDefault="00EB79AD" w:rsidP="00EB79AD">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celu dokonania oceny wpływu przyjętych rozwiązań dotyczących sektora </w:t>
            </w:r>
            <w:proofErr w:type="spellStart"/>
            <w:r>
              <w:rPr>
                <w:rFonts w:ascii="Times New Roman" w:hAnsi="Times New Roman"/>
                <w:color w:val="000000"/>
                <w:spacing w:val="-2"/>
              </w:rPr>
              <w:t>biometanu</w:t>
            </w:r>
            <w:proofErr w:type="spellEnd"/>
            <w:r>
              <w:rPr>
                <w:rFonts w:ascii="Times New Roman" w:hAnsi="Times New Roman"/>
                <w:color w:val="000000"/>
                <w:spacing w:val="-2"/>
              </w:rPr>
              <w:t xml:space="preserve"> na planowany w roku 2030 mix energetyczny Polski należy przede wszystkim uwzględnić aktualną prognozę dotyczącą zużycia energii ze źródeł odnawialnych, zawartą w Krajowym Planie Energii i Klimatu (dalej: „</w:t>
            </w:r>
            <w:proofErr w:type="spellStart"/>
            <w:r>
              <w:rPr>
                <w:rFonts w:ascii="Times New Roman" w:hAnsi="Times New Roman"/>
                <w:color w:val="000000"/>
                <w:spacing w:val="-2"/>
              </w:rPr>
              <w:t>KPEiK</w:t>
            </w:r>
            <w:proofErr w:type="spellEnd"/>
            <w:r>
              <w:rPr>
                <w:rFonts w:ascii="Times New Roman" w:hAnsi="Times New Roman"/>
                <w:color w:val="000000"/>
                <w:spacing w:val="-2"/>
              </w:rPr>
              <w:t xml:space="preserve">”), w zał. 2 </w:t>
            </w:r>
            <w:r w:rsidRPr="00C6684E">
              <w:rPr>
                <w:rFonts w:ascii="Times New Roman" w:hAnsi="Times New Roman"/>
                <w:i/>
                <w:color w:val="000000"/>
                <w:spacing w:val="-2"/>
              </w:rPr>
              <w:t>Ocena skutków planowanych polityk i środków</w:t>
            </w:r>
            <w:r>
              <w:rPr>
                <w:rFonts w:ascii="Times New Roman" w:hAnsi="Times New Roman"/>
                <w:i/>
                <w:color w:val="000000"/>
                <w:spacing w:val="-2"/>
              </w:rPr>
              <w:t xml:space="preserve">. </w:t>
            </w:r>
            <w:r>
              <w:rPr>
                <w:rFonts w:ascii="Times New Roman" w:hAnsi="Times New Roman"/>
                <w:color w:val="000000"/>
                <w:spacing w:val="-2"/>
              </w:rPr>
              <w:t xml:space="preserve">Ponieważ dokument w wersji 5.2. datowany z dnia 18 grudnia 2019 r. powstał przed przyjęciem proponowanej strategii w zakresie rozwoju sektora </w:t>
            </w:r>
            <w:proofErr w:type="spellStart"/>
            <w:r>
              <w:rPr>
                <w:rFonts w:ascii="Times New Roman" w:hAnsi="Times New Roman"/>
                <w:color w:val="000000"/>
                <w:spacing w:val="-2"/>
              </w:rPr>
              <w:t>biometanu</w:t>
            </w:r>
            <w:proofErr w:type="spellEnd"/>
            <w:r>
              <w:rPr>
                <w:rFonts w:ascii="Times New Roman" w:hAnsi="Times New Roman"/>
                <w:color w:val="000000"/>
                <w:spacing w:val="-2"/>
              </w:rPr>
              <w:t>, w związku z powyższym należy założyć, że rozwój tego sektora będzie miał pozytywny wpływ na planowany dotychczas mix energetyczny kraju.</w:t>
            </w:r>
          </w:p>
          <w:p w14:paraId="14C7801A" w14:textId="299D32F1" w:rsidR="00EB79AD" w:rsidRDefault="00EB79AD" w:rsidP="00EB79AD">
            <w:pPr>
              <w:spacing w:after="120" w:line="240" w:lineRule="auto"/>
              <w:jc w:val="both"/>
              <w:rPr>
                <w:rFonts w:ascii="Times New Roman" w:hAnsi="Times New Roman"/>
                <w:iCs/>
                <w:color w:val="000000"/>
                <w:spacing w:val="-2"/>
              </w:rPr>
            </w:pPr>
            <w:r>
              <w:rPr>
                <w:rFonts w:ascii="Times New Roman" w:hAnsi="Times New Roman"/>
                <w:iCs/>
                <w:color w:val="000000"/>
                <w:spacing w:val="-2"/>
              </w:rPr>
              <w:t xml:space="preserve">Wykorzystanie </w:t>
            </w:r>
            <w:proofErr w:type="spellStart"/>
            <w:r>
              <w:rPr>
                <w:rFonts w:ascii="Times New Roman" w:hAnsi="Times New Roman"/>
                <w:iCs/>
                <w:color w:val="000000"/>
                <w:spacing w:val="-2"/>
              </w:rPr>
              <w:t>biometanu</w:t>
            </w:r>
            <w:proofErr w:type="spellEnd"/>
            <w:r>
              <w:rPr>
                <w:rFonts w:ascii="Times New Roman" w:hAnsi="Times New Roman"/>
                <w:iCs/>
                <w:color w:val="000000"/>
                <w:spacing w:val="-2"/>
              </w:rPr>
              <w:t xml:space="preserve"> w sektorze transportu, przy założeniu stosowania surowców z zał. IX dyrektywy </w:t>
            </w:r>
            <w:r w:rsidR="00064CC9">
              <w:rPr>
                <w:rFonts w:ascii="Times New Roman" w:hAnsi="Times New Roman"/>
                <w:iCs/>
                <w:color w:val="000000"/>
                <w:spacing w:val="-2"/>
              </w:rPr>
              <w:t>RED II</w:t>
            </w:r>
            <w:r>
              <w:rPr>
                <w:rFonts w:ascii="Times New Roman" w:hAnsi="Times New Roman"/>
                <w:iCs/>
                <w:color w:val="000000"/>
                <w:spacing w:val="-2"/>
              </w:rPr>
              <w:t xml:space="preserve">, uprawniać będzie do tzw. podwójnego zaliczenia do NCW i pozwalać na wykonanie celów w zakresie </w:t>
            </w:r>
            <w:proofErr w:type="spellStart"/>
            <w:r w:rsidRPr="002524AA">
              <w:rPr>
                <w:rFonts w:ascii="Times New Roman" w:hAnsi="Times New Roman"/>
                <w:i/>
                <w:iCs/>
                <w:color w:val="000000"/>
                <w:spacing w:val="-2"/>
              </w:rPr>
              <w:t>advanced</w:t>
            </w:r>
            <w:proofErr w:type="spellEnd"/>
            <w:r w:rsidRPr="002524AA">
              <w:rPr>
                <w:rFonts w:ascii="Times New Roman" w:hAnsi="Times New Roman"/>
                <w:i/>
                <w:iCs/>
                <w:color w:val="000000"/>
                <w:spacing w:val="-2"/>
              </w:rPr>
              <w:t xml:space="preserve"> </w:t>
            </w:r>
            <w:proofErr w:type="spellStart"/>
            <w:r w:rsidRPr="002524AA">
              <w:rPr>
                <w:rFonts w:ascii="Times New Roman" w:hAnsi="Times New Roman"/>
                <w:i/>
                <w:iCs/>
                <w:color w:val="000000"/>
                <w:spacing w:val="-2"/>
              </w:rPr>
              <w:t>biofuels</w:t>
            </w:r>
            <w:proofErr w:type="spellEnd"/>
            <w:r>
              <w:rPr>
                <w:rFonts w:ascii="Times New Roman" w:hAnsi="Times New Roman"/>
                <w:iCs/>
                <w:color w:val="000000"/>
                <w:spacing w:val="-2"/>
              </w:rPr>
              <w:t xml:space="preserve">, szacowanych w 2030 r. na poziomie 418 </w:t>
            </w:r>
            <w:proofErr w:type="spellStart"/>
            <w:r>
              <w:rPr>
                <w:rFonts w:ascii="Times New Roman" w:hAnsi="Times New Roman"/>
                <w:iCs/>
                <w:color w:val="000000"/>
                <w:spacing w:val="-2"/>
              </w:rPr>
              <w:t>ktoe</w:t>
            </w:r>
            <w:proofErr w:type="spellEnd"/>
            <w:r>
              <w:rPr>
                <w:rFonts w:ascii="Times New Roman" w:hAnsi="Times New Roman"/>
                <w:iCs/>
                <w:color w:val="000000"/>
                <w:spacing w:val="-2"/>
              </w:rPr>
              <w:t xml:space="preserve">. </w:t>
            </w:r>
            <w:r w:rsidR="00910101">
              <w:rPr>
                <w:rFonts w:ascii="Times New Roman" w:hAnsi="Times New Roman"/>
                <w:iCs/>
                <w:color w:val="000000"/>
                <w:spacing w:val="-2"/>
              </w:rPr>
              <w:t xml:space="preserve">Należy się spodziewać, iż wykorzystanie </w:t>
            </w:r>
            <w:proofErr w:type="spellStart"/>
            <w:r w:rsidR="00910101">
              <w:rPr>
                <w:rFonts w:ascii="Times New Roman" w:hAnsi="Times New Roman"/>
                <w:iCs/>
                <w:color w:val="000000"/>
                <w:spacing w:val="-2"/>
              </w:rPr>
              <w:t>biometanu</w:t>
            </w:r>
            <w:proofErr w:type="spellEnd"/>
            <w:r w:rsidR="00910101">
              <w:rPr>
                <w:rFonts w:ascii="Times New Roman" w:hAnsi="Times New Roman"/>
                <w:iCs/>
                <w:color w:val="000000"/>
                <w:spacing w:val="-2"/>
              </w:rPr>
              <w:t xml:space="preserve"> w sektorze transportu nie spowoduje wzrostu realizacji celu OZE w transporcie ponad poziomy obowiązków wynikających z </w:t>
            </w:r>
            <w:r w:rsidR="00064CC9">
              <w:rPr>
                <w:rFonts w:ascii="Times New Roman" w:hAnsi="Times New Roman"/>
                <w:iCs/>
                <w:color w:val="000000"/>
                <w:spacing w:val="-2"/>
              </w:rPr>
              <w:t>RED II</w:t>
            </w:r>
            <w:r w:rsidR="00FC5A76">
              <w:rPr>
                <w:rFonts w:ascii="Times New Roman" w:hAnsi="Times New Roman"/>
                <w:iCs/>
                <w:color w:val="000000"/>
                <w:spacing w:val="-2"/>
              </w:rPr>
              <w:t>,</w:t>
            </w:r>
            <w:r w:rsidR="00910101">
              <w:rPr>
                <w:rFonts w:ascii="Times New Roman" w:hAnsi="Times New Roman"/>
                <w:iCs/>
                <w:color w:val="000000"/>
                <w:spacing w:val="-2"/>
              </w:rPr>
              <w:t xml:space="preserve"> ale w sposób istotny wpłynie na strukturę realizacji tego celu w kraju, umożliwiając ograniczenie stosowania innych biokomponentów (np. HVO), których dostępność w perspektywie kolejnych lat może być ograniczona – podobnie jak to miało miejsce w roku 2020. Jednocześnie, szczegółowe przepisy dotyczące zasad wykorzystania </w:t>
            </w:r>
            <w:proofErr w:type="spellStart"/>
            <w:r w:rsidR="00910101">
              <w:rPr>
                <w:rFonts w:ascii="Times New Roman" w:hAnsi="Times New Roman"/>
                <w:iCs/>
                <w:color w:val="000000"/>
                <w:spacing w:val="-2"/>
              </w:rPr>
              <w:t>biometanu</w:t>
            </w:r>
            <w:proofErr w:type="spellEnd"/>
            <w:r w:rsidR="00910101">
              <w:rPr>
                <w:rFonts w:ascii="Times New Roman" w:hAnsi="Times New Roman"/>
                <w:iCs/>
                <w:color w:val="000000"/>
                <w:spacing w:val="-2"/>
              </w:rPr>
              <w:t xml:space="preserve"> do celów transportowych, w tym poziomów obowiązków w tym zakresie nakładanych na podmioty realizujące NCW będą określone w przepisach ustawy nowelizującej ustawę z dnia 25 sierpnia 2006 r. </w:t>
            </w:r>
            <w:r w:rsidR="00910101" w:rsidRPr="005F4A55">
              <w:rPr>
                <w:rFonts w:ascii="Times New Roman" w:hAnsi="Times New Roman"/>
                <w:i/>
                <w:iCs/>
                <w:color w:val="000000"/>
                <w:spacing w:val="-2"/>
              </w:rPr>
              <w:t>o biokomponentach i</w:t>
            </w:r>
            <w:r w:rsidR="00910101">
              <w:rPr>
                <w:rFonts w:ascii="Times New Roman" w:hAnsi="Times New Roman"/>
                <w:i/>
                <w:iCs/>
                <w:color w:val="000000"/>
                <w:spacing w:val="-2"/>
              </w:rPr>
              <w:t xml:space="preserve"> biopaliwach ciekłych.</w:t>
            </w:r>
          </w:p>
          <w:p w14:paraId="448A213D" w14:textId="77777777" w:rsidR="00EB79AD" w:rsidRPr="000435E7" w:rsidRDefault="00EB79AD" w:rsidP="00EB79AD">
            <w:pPr>
              <w:spacing w:line="240" w:lineRule="auto"/>
              <w:jc w:val="both"/>
              <w:rPr>
                <w:rFonts w:ascii="Times New Roman" w:hAnsi="Times New Roman"/>
                <w:b/>
                <w:bCs/>
                <w:iCs/>
                <w:u w:val="single"/>
              </w:rPr>
            </w:pPr>
            <w:r>
              <w:rPr>
                <w:rFonts w:ascii="Times New Roman" w:hAnsi="Times New Roman"/>
                <w:b/>
                <w:bCs/>
                <w:iCs/>
                <w:u w:val="single"/>
              </w:rPr>
              <w:t xml:space="preserve">II. </w:t>
            </w:r>
            <w:r w:rsidRPr="000435E7">
              <w:rPr>
                <w:rFonts w:ascii="Times New Roman" w:hAnsi="Times New Roman"/>
                <w:b/>
                <w:bCs/>
                <w:iCs/>
                <w:u w:val="single"/>
              </w:rPr>
              <w:t xml:space="preserve">Instrumenty promowania rozwoju klastrów energii </w:t>
            </w:r>
          </w:p>
          <w:p w14:paraId="0229F90E" w14:textId="6877537D" w:rsidR="00EB79AD" w:rsidRDefault="00EB79AD" w:rsidP="004B458B">
            <w:pPr>
              <w:spacing w:after="120" w:line="240" w:lineRule="auto"/>
              <w:jc w:val="both"/>
              <w:rPr>
                <w:rFonts w:ascii="Times New Roman" w:eastAsia="Times New Roman" w:hAnsi="Times New Roman"/>
                <w:bCs/>
                <w:kern w:val="32"/>
                <w:lang w:eastAsia="pl-PL"/>
              </w:rPr>
            </w:pPr>
            <w:r w:rsidRPr="00903698">
              <w:rPr>
                <w:rFonts w:ascii="Times New Roman" w:eastAsia="Times New Roman" w:hAnsi="Times New Roman"/>
                <w:bCs/>
                <w:kern w:val="32"/>
                <w:lang w:eastAsia="pl-PL"/>
              </w:rPr>
              <w:t>W latach 2017-2018 Ministerstwo Energii przeprowadziło dwa konkursy na Certyfikat Pilotażowego Klastra Energii. W obu przeprowadzonych edycjach konkursu wyróżniono 66 klastrów energii, które wpisane zostały na Listę Pilotażowych Klastrów Energii</w:t>
            </w:r>
            <w:r w:rsidRPr="00687093">
              <w:rPr>
                <w:rFonts w:ascii="Times New Roman" w:eastAsia="Times New Roman" w:hAnsi="Times New Roman"/>
                <w:bCs/>
                <w:kern w:val="32"/>
                <w:lang w:eastAsia="pl-PL"/>
              </w:rPr>
              <w:t xml:space="preserve">. Jednocześnie, Krajowa Izba Klastrów Energii (dalej: „KIKE”) szacuje, iż na rynku można aktualnie wyodrębnić </w:t>
            </w:r>
            <w:r>
              <w:rPr>
                <w:rFonts w:ascii="Times New Roman" w:eastAsia="Times New Roman" w:hAnsi="Times New Roman"/>
                <w:bCs/>
                <w:kern w:val="32"/>
                <w:lang w:eastAsia="pl-PL"/>
              </w:rPr>
              <w:t>60 działających klastrów energii. Jednocześnie z</w:t>
            </w:r>
            <w:r w:rsidRPr="00814751">
              <w:rPr>
                <w:rFonts w:ascii="Times New Roman" w:eastAsia="Times New Roman" w:hAnsi="Times New Roman"/>
                <w:bCs/>
                <w:kern w:val="32"/>
                <w:lang w:eastAsia="pl-PL"/>
              </w:rPr>
              <w:t>apowiedź nowelizacji ustawy OZE pobudziła rynek</w:t>
            </w:r>
            <w:r>
              <w:rPr>
                <w:rFonts w:ascii="Times New Roman" w:eastAsia="Times New Roman" w:hAnsi="Times New Roman"/>
                <w:bCs/>
                <w:kern w:val="32"/>
                <w:lang w:eastAsia="pl-PL"/>
              </w:rPr>
              <w:t>, przez co widoczna jest w tym sektorze większa aktywność niż dotychczas</w:t>
            </w:r>
            <w:r w:rsidRPr="00814751">
              <w:rPr>
                <w:rFonts w:ascii="Times New Roman" w:eastAsia="Times New Roman" w:hAnsi="Times New Roman"/>
                <w:bCs/>
                <w:kern w:val="32"/>
                <w:lang w:eastAsia="pl-PL"/>
              </w:rPr>
              <w:t xml:space="preserve">. </w:t>
            </w:r>
            <w:r>
              <w:rPr>
                <w:rFonts w:ascii="Times New Roman" w:eastAsia="Times New Roman" w:hAnsi="Times New Roman"/>
                <w:bCs/>
                <w:kern w:val="32"/>
                <w:lang w:eastAsia="pl-PL"/>
              </w:rPr>
              <w:t>Zgodnie z założeniami</w:t>
            </w:r>
            <w:r w:rsidR="00CE68A9">
              <w:rPr>
                <w:rFonts w:ascii="Times New Roman" w:eastAsia="Times New Roman" w:hAnsi="Times New Roman"/>
                <w:bCs/>
                <w:kern w:val="32"/>
                <w:lang w:eastAsia="pl-PL"/>
              </w:rPr>
              <w:t>,</w:t>
            </w:r>
            <w:r w:rsidR="0046166C">
              <w:rPr>
                <w:rFonts w:ascii="Times New Roman" w:eastAsia="Times New Roman" w:hAnsi="Times New Roman"/>
                <w:bCs/>
                <w:kern w:val="32"/>
                <w:lang w:eastAsia="pl-PL"/>
              </w:rPr>
              <w:t xml:space="preserve"> </w:t>
            </w:r>
            <w:r>
              <w:rPr>
                <w:rFonts w:ascii="Times New Roman" w:eastAsia="Times New Roman" w:hAnsi="Times New Roman"/>
                <w:bCs/>
                <w:kern w:val="32"/>
                <w:lang w:eastAsia="pl-PL"/>
              </w:rPr>
              <w:t>w kolejnych latach będzie powstawało średnio ok. 25 klastrów</w:t>
            </w:r>
            <w:r w:rsidR="00897727">
              <w:rPr>
                <w:rFonts w:ascii="Times New Roman" w:eastAsia="Times New Roman" w:hAnsi="Times New Roman"/>
                <w:bCs/>
                <w:kern w:val="32"/>
                <w:lang w:eastAsia="pl-PL"/>
              </w:rPr>
              <w:t xml:space="preserve"> rocznie</w:t>
            </w:r>
            <w:r w:rsidRPr="00814751">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W efekcie, zgodnie z założeniami projektu ustawy</w:t>
            </w:r>
            <w:r w:rsidR="00897727">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do </w:t>
            </w:r>
            <w:r w:rsidRPr="00AE04CE">
              <w:rPr>
                <w:rFonts w:ascii="Times New Roman" w:eastAsia="Times New Roman" w:hAnsi="Times New Roman"/>
                <w:bCs/>
                <w:kern w:val="32"/>
                <w:lang w:eastAsia="pl-PL"/>
              </w:rPr>
              <w:t xml:space="preserve">roku 2029 w Polsce powstanie </w:t>
            </w:r>
            <w:r w:rsidR="00897727">
              <w:rPr>
                <w:rFonts w:ascii="Times New Roman" w:eastAsia="Times New Roman" w:hAnsi="Times New Roman"/>
                <w:bCs/>
                <w:kern w:val="32"/>
                <w:lang w:eastAsia="pl-PL"/>
              </w:rPr>
              <w:t xml:space="preserve">ok. </w:t>
            </w:r>
            <w:r w:rsidRPr="00AE04CE">
              <w:rPr>
                <w:rFonts w:ascii="Times New Roman" w:eastAsia="Times New Roman" w:hAnsi="Times New Roman"/>
                <w:bCs/>
                <w:kern w:val="32"/>
                <w:lang w:eastAsia="pl-PL"/>
              </w:rPr>
              <w:t>300 klastrów</w:t>
            </w:r>
            <w:r w:rsidRPr="00687093">
              <w:rPr>
                <w:rFonts w:ascii="Times New Roman" w:eastAsia="Times New Roman" w:hAnsi="Times New Roman"/>
                <w:bCs/>
                <w:kern w:val="32"/>
                <w:lang w:eastAsia="pl-PL"/>
              </w:rPr>
              <w:t>.</w:t>
            </w:r>
            <w:r>
              <w:rPr>
                <w:rFonts w:ascii="Times New Roman" w:eastAsia="Times New Roman" w:hAnsi="Times New Roman"/>
                <w:bCs/>
                <w:kern w:val="32"/>
                <w:lang w:eastAsia="pl-PL"/>
              </w:rPr>
              <w:t xml:space="preserve"> </w:t>
            </w:r>
          </w:p>
          <w:p w14:paraId="18F2DEB9" w14:textId="77777777" w:rsidR="00EB79AD" w:rsidRPr="00687093" w:rsidRDefault="00EB79AD" w:rsidP="00EB79AD">
            <w:pPr>
              <w:spacing w:line="240" w:lineRule="auto"/>
              <w:jc w:val="both"/>
              <w:rPr>
                <w:rFonts w:ascii="Times New Roman" w:hAnsi="Times New Roman"/>
                <w:bCs/>
              </w:rPr>
            </w:pPr>
            <w:r>
              <w:rPr>
                <w:rFonts w:ascii="Times New Roman" w:hAnsi="Times New Roman"/>
                <w:bCs/>
              </w:rPr>
              <w:t>Kontynuując promowanie rozwoju klastrów energii, p</w:t>
            </w:r>
            <w:r w:rsidRPr="00687093">
              <w:rPr>
                <w:rFonts w:ascii="Times New Roman" w:hAnsi="Times New Roman"/>
                <w:bCs/>
              </w:rPr>
              <w:t>rojekt ustawy w tym obszarze obejmuje:</w:t>
            </w:r>
          </w:p>
          <w:p w14:paraId="38571455" w14:textId="2320CB0D"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 xml:space="preserve">ustanowienie czytelnych zasad zawierania porozumienia o utworzeniu klastra energii oraz </w:t>
            </w:r>
            <w:r w:rsidR="00BB44DB">
              <w:rPr>
                <w:rFonts w:ascii="Times New Roman" w:hAnsi="Times New Roman"/>
                <w:bCs/>
              </w:rPr>
              <w:t xml:space="preserve">zmianę </w:t>
            </w:r>
            <w:r w:rsidRPr="00687093">
              <w:rPr>
                <w:rFonts w:ascii="Times New Roman" w:hAnsi="Times New Roman"/>
                <w:bCs/>
              </w:rPr>
              <w:t>definicji klastra energii;</w:t>
            </w:r>
          </w:p>
          <w:p w14:paraId="7FB3D266" w14:textId="77777777" w:rsidR="00EB79AD"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doprecyzowanie przepisów określających zakres podmiotowy, przedmiotowy oraz obszar działania klastra energii;</w:t>
            </w:r>
          </w:p>
          <w:p w14:paraId="52096CD8" w14:textId="6C1B3B36" w:rsidR="00BB44DB" w:rsidRPr="00687093" w:rsidRDefault="00BB44DB" w:rsidP="00EB79AD">
            <w:pPr>
              <w:numPr>
                <w:ilvl w:val="0"/>
                <w:numId w:val="131"/>
              </w:numPr>
              <w:spacing w:line="240" w:lineRule="auto"/>
              <w:jc w:val="both"/>
              <w:rPr>
                <w:rFonts w:ascii="Times New Roman" w:hAnsi="Times New Roman"/>
                <w:bCs/>
              </w:rPr>
            </w:pPr>
            <w:r>
              <w:rPr>
                <w:rFonts w:ascii="Times New Roman" w:hAnsi="Times New Roman"/>
                <w:bCs/>
              </w:rPr>
              <w:t>dodanie celu działania klastra energii;</w:t>
            </w:r>
          </w:p>
          <w:p w14:paraId="309B84DF" w14:textId="77777777"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stworzenie rejestru klastrów energii oraz określenie zasad jego funkcjonowania;</w:t>
            </w:r>
          </w:p>
          <w:p w14:paraId="5945358D" w14:textId="3C1A87D1"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zapewnienie warunków rozwoju klastrów energii poprzez wprowadzenie mechanizmu premiowania zużywania na własne potrzeby energii wytworzonej przez członków klastra energii</w:t>
            </w:r>
            <w:r w:rsidR="00F15287">
              <w:rPr>
                <w:rFonts w:ascii="Times New Roman" w:hAnsi="Times New Roman"/>
                <w:bCs/>
              </w:rPr>
              <w:t>;</w:t>
            </w:r>
            <w:r w:rsidRPr="00687093">
              <w:rPr>
                <w:rFonts w:ascii="Times New Roman" w:hAnsi="Times New Roman"/>
                <w:bCs/>
              </w:rPr>
              <w:t xml:space="preserve"> </w:t>
            </w:r>
          </w:p>
          <w:p w14:paraId="4F245A8F" w14:textId="77777777" w:rsidR="00EB79AD" w:rsidRPr="00687093" w:rsidRDefault="00EB79AD" w:rsidP="00EB79AD">
            <w:pPr>
              <w:numPr>
                <w:ilvl w:val="0"/>
                <w:numId w:val="131"/>
              </w:numPr>
              <w:spacing w:line="240" w:lineRule="auto"/>
              <w:jc w:val="both"/>
              <w:rPr>
                <w:rFonts w:ascii="Times New Roman" w:hAnsi="Times New Roman"/>
                <w:bCs/>
              </w:rPr>
            </w:pPr>
            <w:r w:rsidRPr="00687093">
              <w:rPr>
                <w:rFonts w:ascii="Times New Roman" w:hAnsi="Times New Roman"/>
                <w:bCs/>
              </w:rPr>
              <w:t>ułatwienie współpracy poszczególnych członków klastra energii z operatorami systemów dystrybucyjnych poprzez określenie szczególnych zasad tej współpracy;</w:t>
            </w:r>
          </w:p>
          <w:p w14:paraId="40B2EED9" w14:textId="7DC164B8" w:rsidR="00EB79AD" w:rsidRDefault="00EB79AD" w:rsidP="00EB79AD">
            <w:pPr>
              <w:numPr>
                <w:ilvl w:val="0"/>
                <w:numId w:val="131"/>
              </w:numPr>
              <w:spacing w:after="120" w:line="240" w:lineRule="auto"/>
              <w:jc w:val="both"/>
              <w:rPr>
                <w:rFonts w:ascii="Times New Roman" w:hAnsi="Times New Roman"/>
                <w:bCs/>
              </w:rPr>
            </w:pPr>
            <w:r w:rsidRPr="00687093">
              <w:rPr>
                <w:rFonts w:ascii="Times New Roman" w:hAnsi="Times New Roman"/>
                <w:bCs/>
              </w:rPr>
              <w:t xml:space="preserve">określenie wymagań, których spełnienie przez klaster energii umożliwiać będzie skorzystanie ze zwolnienia z opłat określonych w ustawie oraz z preferencyjnego sposobu rozliczeń (wymagania w zakresie stopnia pokrycia w ciągu roku łącznych potrzeb własnych członków klastra energii w zakresie energii elektrycznej, łącznej mocy zainstalowanej elektrycznej, </w:t>
            </w:r>
            <w:r w:rsidR="00A87E5F">
              <w:rPr>
                <w:rFonts w:ascii="Times New Roman" w:hAnsi="Times New Roman"/>
                <w:bCs/>
              </w:rPr>
              <w:t xml:space="preserve">zdolności do magazynowania energii na określonym w ustawie poziomie, </w:t>
            </w:r>
            <w:r w:rsidRPr="00687093">
              <w:rPr>
                <w:rFonts w:ascii="Times New Roman" w:hAnsi="Times New Roman"/>
                <w:bCs/>
              </w:rPr>
              <w:t>a także wymóg, aby co najm</w:t>
            </w:r>
            <w:r w:rsidR="009E4C3E">
              <w:rPr>
                <w:rFonts w:ascii="Times New Roman" w:hAnsi="Times New Roman"/>
                <w:bCs/>
              </w:rPr>
              <w:t>niej 30%, zaś od 1 stycznia 2027</w:t>
            </w:r>
            <w:r w:rsidRPr="00687093">
              <w:rPr>
                <w:rFonts w:ascii="Times New Roman" w:hAnsi="Times New Roman"/>
                <w:bCs/>
              </w:rPr>
              <w:t xml:space="preserve"> r. co najmniej 50%, energii wytwarzanej w</w:t>
            </w:r>
            <w:r>
              <w:rPr>
                <w:rFonts w:ascii="Times New Roman" w:hAnsi="Times New Roman"/>
                <w:bCs/>
              </w:rPr>
              <w:t> </w:t>
            </w:r>
            <w:r w:rsidRPr="00687093">
              <w:rPr>
                <w:rFonts w:ascii="Times New Roman" w:hAnsi="Times New Roman"/>
                <w:bCs/>
              </w:rPr>
              <w:t>klastrze energii pochodziło z OZE).</w:t>
            </w:r>
          </w:p>
          <w:p w14:paraId="4A71210E" w14:textId="7F41E864" w:rsidR="00834C64" w:rsidRPr="00D235FE" w:rsidRDefault="00834C64" w:rsidP="00F75F7F">
            <w:pPr>
              <w:spacing w:after="120" w:line="240" w:lineRule="auto"/>
              <w:jc w:val="both"/>
              <w:rPr>
                <w:rFonts w:ascii="Times New Roman" w:hAnsi="Times New Roman"/>
              </w:rPr>
            </w:pPr>
            <w:r>
              <w:rPr>
                <w:rFonts w:ascii="Times New Roman" w:hAnsi="Times New Roman"/>
                <w:bCs/>
              </w:rPr>
              <w:t xml:space="preserve">Podstawowy mechanizm preferencji dla klastrów energii będzie obejmował </w:t>
            </w:r>
            <w:r w:rsidRPr="00D235FE">
              <w:rPr>
                <w:rFonts w:ascii="Times New Roman" w:hAnsi="Times New Roman"/>
              </w:rPr>
              <w:t xml:space="preserve">zwolnienia z opłaty OZE, opłaty kogeneracyjnej, akcyzy oraz obowiązków związanych ze świadectwami pochodzenia w odniesieniu do energii elektrycznej wytworzonej z OZE przez członków klastra energii i pobranej przez członków klastra energii dla każdej godziny okresu rozliczeniowego. Mechanizm będzie funkcjonował </w:t>
            </w:r>
            <w:r w:rsidR="009E4C3E">
              <w:rPr>
                <w:rFonts w:ascii="Times New Roman" w:hAnsi="Times New Roman"/>
              </w:rPr>
              <w:t xml:space="preserve">od 1 stycznia 2024 roku </w:t>
            </w:r>
            <w:r w:rsidRPr="00D235FE">
              <w:rPr>
                <w:rFonts w:ascii="Times New Roman" w:hAnsi="Times New Roman"/>
              </w:rPr>
              <w:t>do dnia 31 grudnia 2029 r. i będzie uzależniony od wykazania</w:t>
            </w:r>
            <w:r>
              <w:rPr>
                <w:rFonts w:ascii="Times New Roman" w:hAnsi="Times New Roman"/>
              </w:rPr>
              <w:t xml:space="preserve"> </w:t>
            </w:r>
            <w:r w:rsidR="00897727">
              <w:rPr>
                <w:rFonts w:ascii="Times New Roman" w:hAnsi="Times New Roman"/>
              </w:rPr>
              <w:t xml:space="preserve">spełnienia </w:t>
            </w:r>
            <w:r>
              <w:rPr>
                <w:rFonts w:ascii="Times New Roman" w:hAnsi="Times New Roman"/>
              </w:rPr>
              <w:t>warunków wskazanych w ustawie</w:t>
            </w:r>
            <w:r w:rsidRPr="00D235FE">
              <w:rPr>
                <w:rFonts w:ascii="Times New Roman" w:hAnsi="Times New Roman"/>
              </w:rPr>
              <w:t>.</w:t>
            </w:r>
          </w:p>
          <w:p w14:paraId="2F33EE3C" w14:textId="36E1BCB4" w:rsidR="00834C64" w:rsidRDefault="00834C64" w:rsidP="00834C64">
            <w:pPr>
              <w:spacing w:after="80" w:line="240" w:lineRule="auto"/>
              <w:jc w:val="both"/>
              <w:rPr>
                <w:rFonts w:ascii="Times New Roman" w:hAnsi="Times New Roman"/>
              </w:rPr>
            </w:pPr>
            <w:r w:rsidRPr="00687093">
              <w:rPr>
                <w:rFonts w:ascii="Times New Roman" w:hAnsi="Times New Roman"/>
              </w:rPr>
              <w:t>Jednocześnie</w:t>
            </w:r>
            <w:r w:rsidR="00897727">
              <w:rPr>
                <w:rFonts w:ascii="Times New Roman" w:hAnsi="Times New Roman"/>
              </w:rPr>
              <w:t>,</w:t>
            </w:r>
            <w:r w:rsidRPr="00687093">
              <w:rPr>
                <w:rFonts w:ascii="Times New Roman" w:hAnsi="Times New Roman"/>
              </w:rPr>
              <w:t xml:space="preserve"> dla członków klastrów energii, które wykażą wyższy poziom </w:t>
            </w:r>
            <w:r w:rsidR="00BB44DB">
              <w:rPr>
                <w:rFonts w:ascii="Times New Roman" w:hAnsi="Times New Roman"/>
              </w:rPr>
              <w:t xml:space="preserve">zużycia własnego </w:t>
            </w:r>
            <w:r w:rsidRPr="00687093">
              <w:rPr>
                <w:rFonts w:ascii="Times New Roman" w:hAnsi="Times New Roman"/>
              </w:rPr>
              <w:t>tj. powyżej 60%, przewidziany jest dodatkowy instrument wsparcia obejmujący upust od zmiennych składników taryfy dystrybucyjnej. Planowany w</w:t>
            </w:r>
            <w:r>
              <w:rPr>
                <w:rFonts w:ascii="Times New Roman" w:hAnsi="Times New Roman"/>
              </w:rPr>
              <w:t> </w:t>
            </w:r>
            <w:r w:rsidRPr="00687093">
              <w:rPr>
                <w:rFonts w:ascii="Times New Roman" w:hAnsi="Times New Roman"/>
              </w:rPr>
              <w:t xml:space="preserve">projekcie ustawy instrument wsparcia zakłada 5% upust przy osiągnieciu </w:t>
            </w:r>
            <w:r w:rsidR="00BB44DB">
              <w:rPr>
                <w:rFonts w:ascii="Times New Roman" w:hAnsi="Times New Roman"/>
              </w:rPr>
              <w:t xml:space="preserve">zużycia własnego </w:t>
            </w:r>
            <w:r w:rsidRPr="00687093">
              <w:rPr>
                <w:rFonts w:ascii="Times New Roman" w:hAnsi="Times New Roman"/>
              </w:rPr>
              <w:t>powyżej 60%. Wraz ze wzrostem a</w:t>
            </w:r>
            <w:r w:rsidR="000D79EA">
              <w:rPr>
                <w:rFonts w:ascii="Times New Roman" w:hAnsi="Times New Roman"/>
              </w:rPr>
              <w:t xml:space="preserve"> </w:t>
            </w:r>
            <w:r w:rsidRPr="00687093">
              <w:rPr>
                <w:rFonts w:ascii="Times New Roman" w:hAnsi="Times New Roman"/>
              </w:rPr>
              <w:t xml:space="preserve">o kolejne 10% członkowie klastra energii uzyskują dodatkowe 5%. W przypadku 100% </w:t>
            </w:r>
            <w:r w:rsidR="00BB44DB">
              <w:rPr>
                <w:rFonts w:ascii="Times New Roman" w:hAnsi="Times New Roman"/>
              </w:rPr>
              <w:t xml:space="preserve">zużycia własnego </w:t>
            </w:r>
            <w:r w:rsidRPr="00687093">
              <w:rPr>
                <w:rFonts w:ascii="Times New Roman" w:hAnsi="Times New Roman"/>
              </w:rPr>
              <w:t>upust ten wynos</w:t>
            </w:r>
            <w:r w:rsidR="00564BDB">
              <w:rPr>
                <w:rFonts w:ascii="Times New Roman" w:hAnsi="Times New Roman"/>
              </w:rPr>
              <w:t>i</w:t>
            </w:r>
            <w:r w:rsidRPr="00687093">
              <w:rPr>
                <w:rFonts w:ascii="Times New Roman" w:hAnsi="Times New Roman"/>
              </w:rPr>
              <w:t xml:space="preserve"> 25%. </w:t>
            </w:r>
          </w:p>
          <w:p w14:paraId="7E4F1989" w14:textId="65B6E2CB" w:rsidR="00F15287" w:rsidRPr="00F15287" w:rsidRDefault="00F15287" w:rsidP="00F15287">
            <w:pPr>
              <w:autoSpaceDE w:val="0"/>
              <w:autoSpaceDN w:val="0"/>
              <w:adjustRightInd w:val="0"/>
              <w:spacing w:after="120" w:line="240" w:lineRule="auto"/>
              <w:jc w:val="both"/>
              <w:rPr>
                <w:rFonts w:ascii="Times New Roman" w:hAnsi="Times New Roman"/>
                <w:bCs/>
              </w:rPr>
            </w:pPr>
            <w:r>
              <w:rPr>
                <w:rFonts w:ascii="Times New Roman" w:hAnsi="Times New Roman"/>
              </w:rPr>
              <w:lastRenderedPageBreak/>
              <w:t>Wprowadzono także regulację usługi</w:t>
            </w:r>
            <w:r w:rsidRPr="00F15287">
              <w:rPr>
                <w:rFonts w:ascii="Times New Roman" w:hAnsi="Times New Roman"/>
              </w:rPr>
              <w:t xml:space="preserve"> </w:t>
            </w:r>
            <w:r w:rsidRPr="00F15287">
              <w:rPr>
                <w:rFonts w:ascii="Times New Roman" w:hAnsi="Times New Roman"/>
                <w:bCs/>
              </w:rPr>
              <w:t>ograniczania obciążenia szczytowego</w:t>
            </w:r>
            <w:r>
              <w:rPr>
                <w:rFonts w:ascii="Times New Roman" w:hAnsi="Times New Roman"/>
                <w:bCs/>
              </w:rPr>
              <w:t>, która</w:t>
            </w:r>
            <w:r w:rsidRPr="00F15287">
              <w:rPr>
                <w:rFonts w:ascii="Times New Roman" w:hAnsi="Times New Roman"/>
                <w:bCs/>
              </w:rPr>
              <w:t xml:space="preserve"> jest zdefiniowaną w ustawie formułą odpłatnego świadczenia na rzecz operatora </w:t>
            </w:r>
            <w:r w:rsidRPr="00F15287">
              <w:rPr>
                <w:rFonts w:ascii="Times New Roman" w:hAnsi="Times New Roman"/>
              </w:rPr>
              <w:t xml:space="preserve">systemu dystrybucyjnego elektroenergetycznego </w:t>
            </w:r>
            <w:r w:rsidRPr="00F15287">
              <w:rPr>
                <w:rFonts w:ascii="Times New Roman" w:hAnsi="Times New Roman"/>
                <w:bCs/>
              </w:rPr>
              <w:t>przez strony porozumienia klastra energii usługi w postaci ograniczenia szczytowej generacji energii. Zasady świadczenia i wynagrodzenia tej usługi podlegają konkretyzacji w umowie.</w:t>
            </w:r>
            <w:r w:rsidRPr="00F15287">
              <w:rPr>
                <w:rFonts w:ascii="Times" w:eastAsiaTheme="minorEastAsia" w:hAnsi="Times" w:cs="Arial"/>
                <w:bCs/>
                <w:sz w:val="24"/>
                <w:szCs w:val="20"/>
                <w:lang w:eastAsia="pl-PL"/>
              </w:rPr>
              <w:t xml:space="preserve"> </w:t>
            </w:r>
            <w:r w:rsidRPr="00F15287">
              <w:rPr>
                <w:rFonts w:ascii="Times New Roman" w:hAnsi="Times New Roman"/>
                <w:bCs/>
              </w:rPr>
              <w:t>Wprowadzenie usługi ograniczania obciążenia szczytowego otwiera nowe możliwości działania dla stron porozumienia klastra energii oraz może stanowić użyteczne narzędzie do bilansowania energii elektrycznej przez operatora sieci dystrybucyjnej, wzmacniając jej stabilność.</w:t>
            </w:r>
          </w:p>
          <w:p w14:paraId="04B4E5DD" w14:textId="34276954" w:rsidR="00834C64" w:rsidRPr="00194DBF" w:rsidRDefault="00834C64" w:rsidP="00834C64">
            <w:pPr>
              <w:autoSpaceDE w:val="0"/>
              <w:autoSpaceDN w:val="0"/>
              <w:adjustRightInd w:val="0"/>
              <w:spacing w:after="120" w:line="240" w:lineRule="auto"/>
              <w:jc w:val="both"/>
              <w:rPr>
                <w:rFonts w:ascii="Times New Roman" w:hAnsi="Times New Roman"/>
              </w:rPr>
            </w:pPr>
            <w:r w:rsidRPr="00194DBF">
              <w:rPr>
                <w:rFonts w:ascii="Times New Roman" w:hAnsi="Times New Roman"/>
              </w:rPr>
              <w:t xml:space="preserve">Projektowane zmiany przyczynią się ponadto do zrealizowania celów wskazanych w dokumentach strategicznych kraju, takich jak Strategia na rzecz Odpowiedzialnego Rozwoju (SOR), Krajowy plan działania w zakresie energii ze źródeł odnawialnych (KPD) oraz Polityka </w:t>
            </w:r>
            <w:r w:rsidR="00476693">
              <w:rPr>
                <w:rFonts w:ascii="Times New Roman" w:hAnsi="Times New Roman"/>
              </w:rPr>
              <w:t>e</w:t>
            </w:r>
            <w:r w:rsidRPr="00194DBF">
              <w:rPr>
                <w:rFonts w:ascii="Times New Roman" w:hAnsi="Times New Roman"/>
              </w:rPr>
              <w:t>nergetyczna Polski do roku 2040 (PEP 2040).</w:t>
            </w:r>
          </w:p>
          <w:p w14:paraId="2AE308FB" w14:textId="375C1021" w:rsidR="00834C64" w:rsidRPr="00687093" w:rsidRDefault="00834C64" w:rsidP="00834C64">
            <w:pPr>
              <w:spacing w:after="120" w:line="240" w:lineRule="auto"/>
              <w:jc w:val="both"/>
              <w:rPr>
                <w:rFonts w:ascii="Times New Roman" w:hAnsi="Times New Roman"/>
                <w:color w:val="000000"/>
                <w:szCs w:val="24"/>
              </w:rPr>
            </w:pPr>
            <w:r w:rsidRPr="00687093">
              <w:rPr>
                <w:rFonts w:ascii="Times New Roman" w:hAnsi="Times New Roman"/>
                <w:szCs w:val="24"/>
              </w:rPr>
              <w:t>Źródł</w:t>
            </w:r>
            <w:r w:rsidR="0079615D">
              <w:rPr>
                <w:rFonts w:ascii="Times New Roman" w:hAnsi="Times New Roman"/>
                <w:szCs w:val="24"/>
              </w:rPr>
              <w:t>em</w:t>
            </w:r>
            <w:r w:rsidRPr="00687093">
              <w:rPr>
                <w:rFonts w:ascii="Times New Roman" w:hAnsi="Times New Roman"/>
                <w:szCs w:val="24"/>
              </w:rPr>
              <w:t xml:space="preserve"> informacji o problemie </w:t>
            </w:r>
            <w:r w:rsidR="0079615D">
              <w:rPr>
                <w:rFonts w:ascii="Times New Roman" w:hAnsi="Times New Roman"/>
                <w:szCs w:val="24"/>
              </w:rPr>
              <w:t>jest</w:t>
            </w:r>
            <w:r w:rsidRPr="00687093">
              <w:rPr>
                <w:rFonts w:ascii="Times New Roman" w:hAnsi="Times New Roman"/>
                <w:szCs w:val="24"/>
              </w:rPr>
              <w:t xml:space="preserve"> </w:t>
            </w:r>
            <w:r w:rsidRPr="00687093">
              <w:rPr>
                <w:rFonts w:ascii="Times New Roman" w:hAnsi="Times New Roman"/>
                <w:color w:val="000000"/>
                <w:szCs w:val="24"/>
              </w:rPr>
              <w:t xml:space="preserve">przegląd obowiązujących przepisów prawa unijnego i krajowego, przeprowadzone analizy </w:t>
            </w:r>
            <w:r w:rsidRPr="00687093">
              <w:rPr>
                <w:rFonts w:ascii="Times New Roman" w:hAnsi="Times New Roman"/>
                <w:szCs w:val="24"/>
              </w:rPr>
              <w:t>robocze, uwagi organów administracji państwowej jak również wystąpienia organizacji branżowych</w:t>
            </w:r>
            <w:r w:rsidRPr="00687093">
              <w:rPr>
                <w:rFonts w:ascii="Times New Roman" w:hAnsi="Times New Roman"/>
                <w:color w:val="000000"/>
                <w:szCs w:val="24"/>
              </w:rPr>
              <w:t xml:space="preserve">. </w:t>
            </w:r>
          </w:p>
          <w:p w14:paraId="3B77AEBD" w14:textId="77777777" w:rsidR="00EB79AD" w:rsidRPr="008F0AA1" w:rsidRDefault="00EB79AD" w:rsidP="00EB79AD">
            <w:pPr>
              <w:spacing w:line="240" w:lineRule="auto"/>
              <w:jc w:val="both"/>
              <w:rPr>
                <w:rFonts w:ascii="Times New Roman" w:hAnsi="Times New Roman"/>
              </w:rPr>
            </w:pPr>
            <w:r w:rsidRPr="008F0AA1">
              <w:rPr>
                <w:rFonts w:ascii="Times New Roman" w:hAnsi="Times New Roman"/>
              </w:rPr>
              <w:t>Szacując możliwości budowy źródeł wytwórczych w klastrze energii uwzględnia się szereg elementów</w:t>
            </w:r>
            <w:r>
              <w:rPr>
                <w:rFonts w:ascii="Times New Roman" w:hAnsi="Times New Roman"/>
              </w:rPr>
              <w:t>, z których do najważniejszych należą</w:t>
            </w:r>
            <w:r w:rsidRPr="008F0AA1">
              <w:rPr>
                <w:rFonts w:ascii="Times New Roman" w:hAnsi="Times New Roman"/>
              </w:rPr>
              <w:t xml:space="preserve">: </w:t>
            </w:r>
          </w:p>
          <w:p w14:paraId="797764A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naliza komplementarnoś</w:t>
            </w:r>
            <w:r>
              <w:rPr>
                <w:rFonts w:ascii="Times New Roman" w:hAnsi="Times New Roman"/>
              </w:rPr>
              <w:t>ci celów i kierunków działania klastra e</w:t>
            </w:r>
            <w:r w:rsidRPr="008F0AA1">
              <w:rPr>
                <w:rFonts w:ascii="Times New Roman" w:hAnsi="Times New Roman"/>
              </w:rPr>
              <w:t>nergii z obowiązującymi dokumentami regionalnymi i krajowymi wyznaczającymi cele i kierunki działań związanych z polityką energetyczną i</w:t>
            </w:r>
            <w:r>
              <w:rPr>
                <w:rFonts w:ascii="Times New Roman" w:hAnsi="Times New Roman"/>
              </w:rPr>
              <w:t> </w:t>
            </w:r>
            <w:r w:rsidRPr="008F0AA1">
              <w:rPr>
                <w:rFonts w:ascii="Times New Roman" w:hAnsi="Times New Roman"/>
              </w:rPr>
              <w:t>klimatyczną na poziom</w:t>
            </w:r>
            <w:r>
              <w:rPr>
                <w:rFonts w:ascii="Times New Roman" w:hAnsi="Times New Roman"/>
              </w:rPr>
              <w:t>ie regionalnym oraz krajowym;</w:t>
            </w:r>
          </w:p>
          <w:p w14:paraId="745DF66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o</w:t>
            </w:r>
            <w:r w:rsidRPr="008F0AA1">
              <w:rPr>
                <w:rFonts w:ascii="Times New Roman" w:hAnsi="Times New Roman"/>
              </w:rPr>
              <w:t xml:space="preserve">cena istniejącego potencjału </w:t>
            </w:r>
            <w:r>
              <w:rPr>
                <w:rFonts w:ascii="Times New Roman" w:hAnsi="Times New Roman"/>
              </w:rPr>
              <w:t>klastra e</w:t>
            </w:r>
            <w:r w:rsidRPr="008F0AA1">
              <w:rPr>
                <w:rFonts w:ascii="Times New Roman" w:hAnsi="Times New Roman"/>
              </w:rPr>
              <w:t>nergii oraz posiadane</w:t>
            </w:r>
            <w:r>
              <w:rPr>
                <w:rFonts w:ascii="Times New Roman" w:hAnsi="Times New Roman"/>
              </w:rPr>
              <w:t>j infrastruktury technicznej;</w:t>
            </w:r>
          </w:p>
          <w:p w14:paraId="53C36247"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 xml:space="preserve">naliza ilościowa odbiorców energii na obszarze działania </w:t>
            </w:r>
            <w:r>
              <w:rPr>
                <w:rFonts w:ascii="Times New Roman" w:hAnsi="Times New Roman"/>
              </w:rPr>
              <w:t>klastra e</w:t>
            </w:r>
            <w:r w:rsidRPr="008F0AA1">
              <w:rPr>
                <w:rFonts w:ascii="Times New Roman" w:hAnsi="Times New Roman"/>
              </w:rPr>
              <w:t>nergii</w:t>
            </w:r>
            <w:r>
              <w:rPr>
                <w:rFonts w:ascii="Times New Roman" w:hAnsi="Times New Roman"/>
              </w:rPr>
              <w:t>;</w:t>
            </w:r>
          </w:p>
          <w:p w14:paraId="099E1DEE"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z</w:t>
            </w:r>
            <w:r w:rsidRPr="008F0AA1">
              <w:rPr>
                <w:rFonts w:ascii="Times New Roman" w:hAnsi="Times New Roman"/>
              </w:rPr>
              <w:t>ewnętrzni dostawcy surowców energetycznych i paliw</w:t>
            </w:r>
            <w:r>
              <w:rPr>
                <w:rFonts w:ascii="Times New Roman" w:hAnsi="Times New Roman"/>
              </w:rPr>
              <w:t>;</w:t>
            </w:r>
            <w:r w:rsidRPr="008F0AA1">
              <w:rPr>
                <w:rFonts w:ascii="Times New Roman" w:hAnsi="Times New Roman"/>
              </w:rPr>
              <w:t xml:space="preserve"> </w:t>
            </w:r>
          </w:p>
          <w:p w14:paraId="11EEE8AA"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 xml:space="preserve">naliza obecnie realizowanych przez </w:t>
            </w:r>
            <w:r>
              <w:rPr>
                <w:rFonts w:ascii="Times New Roman" w:hAnsi="Times New Roman"/>
              </w:rPr>
              <w:t>członków klastra e</w:t>
            </w:r>
            <w:r w:rsidRPr="008F0AA1">
              <w:rPr>
                <w:rFonts w:ascii="Times New Roman" w:hAnsi="Times New Roman"/>
              </w:rPr>
              <w:t xml:space="preserve">nergii </w:t>
            </w:r>
            <w:r>
              <w:rPr>
                <w:rFonts w:ascii="Times New Roman" w:hAnsi="Times New Roman"/>
              </w:rPr>
              <w:t>działań i projektów;</w:t>
            </w:r>
          </w:p>
          <w:p w14:paraId="156073E3"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p</w:t>
            </w:r>
            <w:r w:rsidRPr="008F0AA1">
              <w:rPr>
                <w:rFonts w:ascii="Times New Roman" w:hAnsi="Times New Roman"/>
              </w:rPr>
              <w:t xml:space="preserve">rojekty inwestycyjne planowane do realizacji w </w:t>
            </w:r>
            <w:r>
              <w:rPr>
                <w:rFonts w:ascii="Times New Roman" w:hAnsi="Times New Roman"/>
              </w:rPr>
              <w:t>k</w:t>
            </w:r>
            <w:r w:rsidRPr="008F0AA1">
              <w:rPr>
                <w:rFonts w:ascii="Times New Roman" w:hAnsi="Times New Roman"/>
              </w:rPr>
              <w:t xml:space="preserve">lastrze </w:t>
            </w:r>
            <w:r>
              <w:rPr>
                <w:rFonts w:ascii="Times New Roman" w:hAnsi="Times New Roman"/>
              </w:rPr>
              <w:t>e</w:t>
            </w:r>
            <w:r w:rsidRPr="008F0AA1">
              <w:rPr>
                <w:rFonts w:ascii="Times New Roman" w:hAnsi="Times New Roman"/>
              </w:rPr>
              <w:t>nergii</w:t>
            </w:r>
            <w:r>
              <w:rPr>
                <w:rFonts w:ascii="Times New Roman" w:hAnsi="Times New Roman"/>
              </w:rPr>
              <w:t>;</w:t>
            </w:r>
          </w:p>
          <w:p w14:paraId="304A92CC"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w:t>
            </w:r>
            <w:r w:rsidRPr="008F0AA1">
              <w:rPr>
                <w:rFonts w:ascii="Times New Roman" w:hAnsi="Times New Roman"/>
              </w:rPr>
              <w:t>naliza możliwości implementacji systemów magazynowania ene</w:t>
            </w:r>
            <w:r>
              <w:rPr>
                <w:rFonts w:ascii="Times New Roman" w:hAnsi="Times New Roman"/>
              </w:rPr>
              <w:t>rgii;</w:t>
            </w:r>
          </w:p>
          <w:p w14:paraId="37EE72F4"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m</w:t>
            </w:r>
            <w:r w:rsidRPr="008F0AA1">
              <w:rPr>
                <w:rFonts w:ascii="Times New Roman" w:hAnsi="Times New Roman"/>
              </w:rPr>
              <w:t>agazyny energii w postaci akumulatoró</w:t>
            </w:r>
            <w:r>
              <w:rPr>
                <w:rFonts w:ascii="Times New Roman" w:hAnsi="Times New Roman"/>
              </w:rPr>
              <w:t>w połączonych z instalacjami PV;</w:t>
            </w:r>
            <w:r w:rsidRPr="008F0AA1">
              <w:rPr>
                <w:rFonts w:ascii="Times New Roman" w:hAnsi="Times New Roman"/>
              </w:rPr>
              <w:t xml:space="preserve"> </w:t>
            </w:r>
          </w:p>
          <w:p w14:paraId="51BCC21F" w14:textId="5FA23B7E"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t>
            </w:r>
            <w:r w:rsidR="00EB79AD">
              <w:rPr>
                <w:rFonts w:ascii="Times New Roman" w:hAnsi="Times New Roman"/>
              </w:rPr>
              <w:t>m</w:t>
            </w:r>
            <w:r w:rsidR="00EB79AD" w:rsidRPr="008F0AA1">
              <w:rPr>
                <w:rFonts w:ascii="Times New Roman" w:hAnsi="Times New Roman"/>
              </w:rPr>
              <w:t>agazynowani</w:t>
            </w:r>
            <w:r>
              <w:rPr>
                <w:rFonts w:ascii="Times New Roman" w:hAnsi="Times New Roman"/>
              </w:rPr>
              <w:t>a</w:t>
            </w:r>
            <w:r w:rsidR="00EB79AD" w:rsidRPr="008F0AA1">
              <w:rPr>
                <w:rFonts w:ascii="Times New Roman" w:hAnsi="Times New Roman"/>
              </w:rPr>
              <w:t xml:space="preserve"> energii</w:t>
            </w:r>
            <w:r w:rsidR="00EB79AD">
              <w:rPr>
                <w:rFonts w:ascii="Times New Roman" w:hAnsi="Times New Roman"/>
              </w:rPr>
              <w:t xml:space="preserve"> w samochodach elektrycznych</w:t>
            </w:r>
            <w:r>
              <w:rPr>
                <w:rFonts w:ascii="Times New Roman" w:hAnsi="Times New Roman"/>
              </w:rPr>
              <w:t xml:space="preserve"> w ramach klastra</w:t>
            </w:r>
            <w:r w:rsidR="00EB79AD">
              <w:rPr>
                <w:rFonts w:ascii="Times New Roman" w:hAnsi="Times New Roman"/>
              </w:rPr>
              <w:t>;</w:t>
            </w:r>
          </w:p>
          <w:p w14:paraId="5170040A" w14:textId="6DD135ED"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wykorzystanie możliwości </w:t>
            </w:r>
            <w:r w:rsidR="00EB79AD">
              <w:rPr>
                <w:rFonts w:ascii="Times New Roman" w:hAnsi="Times New Roman"/>
              </w:rPr>
              <w:t>a</w:t>
            </w:r>
            <w:r w:rsidR="00EB79AD" w:rsidRPr="008F0AA1">
              <w:rPr>
                <w:rFonts w:ascii="Times New Roman" w:hAnsi="Times New Roman"/>
              </w:rPr>
              <w:t>kumulowani</w:t>
            </w:r>
            <w:r>
              <w:rPr>
                <w:rFonts w:ascii="Times New Roman" w:hAnsi="Times New Roman"/>
              </w:rPr>
              <w:t>a</w:t>
            </w:r>
            <w:r w:rsidR="00EB79AD" w:rsidRPr="008F0AA1">
              <w:rPr>
                <w:rFonts w:ascii="Times New Roman" w:hAnsi="Times New Roman"/>
              </w:rPr>
              <w:t xml:space="preserve"> energi</w:t>
            </w:r>
            <w:r w:rsidR="00EB79AD">
              <w:rPr>
                <w:rFonts w:ascii="Times New Roman" w:hAnsi="Times New Roman"/>
              </w:rPr>
              <w:t>i w ciepłej wodzie użytkowej</w:t>
            </w:r>
            <w:r>
              <w:rPr>
                <w:rFonts w:ascii="Times New Roman" w:hAnsi="Times New Roman"/>
              </w:rPr>
              <w:t xml:space="preserve"> w ramach klastra</w:t>
            </w:r>
            <w:r w:rsidR="00EB79AD">
              <w:rPr>
                <w:rFonts w:ascii="Times New Roman" w:hAnsi="Times New Roman"/>
              </w:rPr>
              <w:t>;</w:t>
            </w:r>
          </w:p>
          <w:p w14:paraId="5157D93C" w14:textId="633060B5"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t>
            </w:r>
            <w:r w:rsidR="00EB79AD">
              <w:rPr>
                <w:rFonts w:ascii="Times New Roman" w:hAnsi="Times New Roman"/>
              </w:rPr>
              <w:t>a</w:t>
            </w:r>
            <w:r w:rsidR="00EB79AD" w:rsidRPr="008F0AA1">
              <w:rPr>
                <w:rFonts w:ascii="Times New Roman" w:hAnsi="Times New Roman"/>
              </w:rPr>
              <w:t>kumulowani</w:t>
            </w:r>
            <w:r>
              <w:rPr>
                <w:rFonts w:ascii="Times New Roman" w:hAnsi="Times New Roman"/>
              </w:rPr>
              <w:t>a</w:t>
            </w:r>
            <w:r w:rsidR="00EB79AD" w:rsidRPr="008F0AA1">
              <w:rPr>
                <w:rFonts w:ascii="Times New Roman" w:hAnsi="Times New Roman"/>
              </w:rPr>
              <w:t xml:space="preserve"> </w:t>
            </w:r>
            <w:r w:rsidR="00EB79AD">
              <w:rPr>
                <w:rFonts w:ascii="Times New Roman" w:hAnsi="Times New Roman"/>
              </w:rPr>
              <w:t>energii w ogrzewaniu budynk</w:t>
            </w:r>
            <w:r>
              <w:rPr>
                <w:rFonts w:ascii="Times New Roman" w:hAnsi="Times New Roman"/>
              </w:rPr>
              <w:t>ów w ramach klastra</w:t>
            </w:r>
            <w:r w:rsidR="00EB79AD">
              <w:rPr>
                <w:rFonts w:ascii="Times New Roman" w:hAnsi="Times New Roman"/>
              </w:rPr>
              <w:t>;</w:t>
            </w:r>
          </w:p>
          <w:p w14:paraId="3235B853" w14:textId="31E997DA" w:rsidR="00EB79AD" w:rsidRPr="008F0AA1" w:rsidRDefault="00DF677B" w:rsidP="00EB79AD">
            <w:pPr>
              <w:numPr>
                <w:ilvl w:val="0"/>
                <w:numId w:val="131"/>
              </w:numPr>
              <w:spacing w:line="240" w:lineRule="auto"/>
              <w:contextualSpacing/>
              <w:jc w:val="both"/>
              <w:rPr>
                <w:rFonts w:ascii="Times New Roman" w:hAnsi="Times New Roman"/>
              </w:rPr>
            </w:pPr>
            <w:r>
              <w:rPr>
                <w:rFonts w:ascii="Times New Roman" w:hAnsi="Times New Roman"/>
              </w:rPr>
              <w:t xml:space="preserve">posiadanie przez członków klastra sezonowych </w:t>
            </w:r>
            <w:r w:rsidR="00EB79AD">
              <w:rPr>
                <w:rFonts w:ascii="Times New Roman" w:hAnsi="Times New Roman"/>
              </w:rPr>
              <w:t>magazyn</w:t>
            </w:r>
            <w:r>
              <w:rPr>
                <w:rFonts w:ascii="Times New Roman" w:hAnsi="Times New Roman"/>
              </w:rPr>
              <w:t>ów</w:t>
            </w:r>
            <w:r w:rsidR="00EB79AD">
              <w:rPr>
                <w:rFonts w:ascii="Times New Roman" w:hAnsi="Times New Roman"/>
              </w:rPr>
              <w:t xml:space="preserve"> ciepła;</w:t>
            </w:r>
          </w:p>
          <w:p w14:paraId="51ED26B6" w14:textId="61E394B5" w:rsidR="00EB79AD" w:rsidRPr="008F0AA1" w:rsidRDefault="008E373D" w:rsidP="00EB79AD">
            <w:pPr>
              <w:numPr>
                <w:ilvl w:val="0"/>
                <w:numId w:val="131"/>
              </w:numPr>
              <w:spacing w:line="240" w:lineRule="auto"/>
              <w:contextualSpacing/>
              <w:jc w:val="both"/>
              <w:rPr>
                <w:rFonts w:ascii="Times New Roman" w:hAnsi="Times New Roman"/>
              </w:rPr>
            </w:pPr>
            <w:r>
              <w:rPr>
                <w:rFonts w:ascii="Times New Roman" w:hAnsi="Times New Roman"/>
              </w:rPr>
              <w:t xml:space="preserve">możliwości wykorzystania </w:t>
            </w:r>
            <w:r w:rsidR="00EB79AD">
              <w:rPr>
                <w:rFonts w:ascii="Times New Roman" w:hAnsi="Times New Roman"/>
              </w:rPr>
              <w:t>m</w:t>
            </w:r>
            <w:r w:rsidR="00EB79AD" w:rsidRPr="008F0AA1">
              <w:rPr>
                <w:rFonts w:ascii="Times New Roman" w:hAnsi="Times New Roman"/>
              </w:rPr>
              <w:t>ag</w:t>
            </w:r>
            <w:r w:rsidR="00EB79AD">
              <w:rPr>
                <w:rFonts w:ascii="Times New Roman" w:hAnsi="Times New Roman"/>
              </w:rPr>
              <w:t>azynowani</w:t>
            </w:r>
            <w:r>
              <w:rPr>
                <w:rFonts w:ascii="Times New Roman" w:hAnsi="Times New Roman"/>
              </w:rPr>
              <w:t>a</w:t>
            </w:r>
            <w:r w:rsidR="00EB79AD">
              <w:rPr>
                <w:rFonts w:ascii="Times New Roman" w:hAnsi="Times New Roman"/>
              </w:rPr>
              <w:t xml:space="preserve"> energii w wodorze</w:t>
            </w:r>
            <w:r>
              <w:rPr>
                <w:rFonts w:ascii="Times New Roman" w:hAnsi="Times New Roman"/>
              </w:rPr>
              <w:t xml:space="preserve"> ramach klastra</w:t>
            </w:r>
            <w:r w:rsidR="00EB79AD">
              <w:rPr>
                <w:rFonts w:ascii="Times New Roman" w:hAnsi="Times New Roman"/>
              </w:rPr>
              <w:t>;</w:t>
            </w:r>
          </w:p>
          <w:p w14:paraId="11F2F6CD"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i</w:t>
            </w:r>
            <w:r w:rsidRPr="008F0AA1">
              <w:rPr>
                <w:rFonts w:ascii="Times New Roman" w:hAnsi="Times New Roman"/>
              </w:rPr>
              <w:t>nteligentne sieci - efektywniejsze rozkładanie zapotrzebowania na energię, zarządzan</w:t>
            </w:r>
            <w:r>
              <w:rPr>
                <w:rFonts w:ascii="Times New Roman" w:hAnsi="Times New Roman"/>
              </w:rPr>
              <w:t>ie energochłonnymi procesami;</w:t>
            </w:r>
          </w:p>
          <w:p w14:paraId="30F2D26B"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weryfikacja, który</w:t>
            </w:r>
            <w:r w:rsidRPr="008F0AA1">
              <w:rPr>
                <w:rFonts w:ascii="Times New Roman" w:hAnsi="Times New Roman"/>
              </w:rPr>
              <w:t xml:space="preserve"> rodzaj magazynowania energii będzie odpowiedni dla poszc</w:t>
            </w:r>
            <w:r>
              <w:rPr>
                <w:rFonts w:ascii="Times New Roman" w:hAnsi="Times New Roman"/>
              </w:rPr>
              <w:t>zególnych obiektów;</w:t>
            </w:r>
          </w:p>
          <w:p w14:paraId="1BEF4150" w14:textId="0981EB0B"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s</w:t>
            </w:r>
            <w:r w:rsidRPr="008F0AA1">
              <w:rPr>
                <w:rFonts w:ascii="Times New Roman" w:hAnsi="Times New Roman"/>
              </w:rPr>
              <w:t xml:space="preserve">posób uregulowania kwestii korzystania z sieci dystrybucyjnych na rzecz </w:t>
            </w:r>
            <w:r>
              <w:rPr>
                <w:rFonts w:ascii="Times New Roman" w:hAnsi="Times New Roman"/>
              </w:rPr>
              <w:t>klastra energii (umowa z OSD);</w:t>
            </w:r>
            <w:r w:rsidRPr="008F0AA1">
              <w:rPr>
                <w:rFonts w:ascii="Times New Roman" w:hAnsi="Times New Roman"/>
              </w:rPr>
              <w:t xml:space="preserve"> </w:t>
            </w:r>
          </w:p>
          <w:p w14:paraId="44A96C69" w14:textId="66FDCEC7" w:rsidR="00EB79AD" w:rsidRPr="008F0AA1" w:rsidRDefault="00EB79AD" w:rsidP="00EB79AD">
            <w:pPr>
              <w:numPr>
                <w:ilvl w:val="0"/>
                <w:numId w:val="131"/>
              </w:numPr>
              <w:spacing w:line="240" w:lineRule="auto"/>
              <w:contextualSpacing/>
              <w:jc w:val="both"/>
              <w:rPr>
                <w:rFonts w:ascii="Times New Roman" w:hAnsi="Times New Roman"/>
              </w:rPr>
            </w:pPr>
            <w:r w:rsidRPr="008F0AA1">
              <w:rPr>
                <w:rFonts w:ascii="Times New Roman" w:hAnsi="Times New Roman"/>
              </w:rPr>
              <w:t>istniejąc</w:t>
            </w:r>
            <w:r w:rsidR="00DF677B">
              <w:rPr>
                <w:rFonts w:ascii="Times New Roman" w:hAnsi="Times New Roman"/>
              </w:rPr>
              <w:t>a</w:t>
            </w:r>
            <w:r w:rsidRPr="008F0AA1">
              <w:rPr>
                <w:rFonts w:ascii="Times New Roman" w:hAnsi="Times New Roman"/>
              </w:rPr>
              <w:t xml:space="preserve"> </w:t>
            </w:r>
            <w:r w:rsidR="00DF677B" w:rsidRPr="008F0AA1">
              <w:rPr>
                <w:rFonts w:ascii="Times New Roman" w:hAnsi="Times New Roman"/>
              </w:rPr>
              <w:t>infrastruktur</w:t>
            </w:r>
            <w:r w:rsidR="00DF677B">
              <w:rPr>
                <w:rFonts w:ascii="Times New Roman" w:hAnsi="Times New Roman"/>
              </w:rPr>
              <w:t>a</w:t>
            </w:r>
            <w:r w:rsidR="00DF677B" w:rsidRPr="008F0AA1">
              <w:rPr>
                <w:rFonts w:ascii="Times New Roman" w:hAnsi="Times New Roman"/>
              </w:rPr>
              <w:t xml:space="preserve"> energetyczn</w:t>
            </w:r>
            <w:r w:rsidR="00DF677B">
              <w:rPr>
                <w:rFonts w:ascii="Times New Roman" w:hAnsi="Times New Roman"/>
              </w:rPr>
              <w:t>a</w:t>
            </w:r>
            <w:r w:rsidR="00DF677B" w:rsidRPr="008F0AA1">
              <w:rPr>
                <w:rFonts w:ascii="Times New Roman" w:hAnsi="Times New Roman"/>
              </w:rPr>
              <w:t xml:space="preserve"> </w:t>
            </w:r>
            <w:r>
              <w:rPr>
                <w:rFonts w:ascii="Times New Roman" w:hAnsi="Times New Roman"/>
              </w:rPr>
              <w:t xml:space="preserve">i </w:t>
            </w:r>
            <w:r w:rsidR="00DF677B">
              <w:rPr>
                <w:rFonts w:ascii="Times New Roman" w:hAnsi="Times New Roman"/>
              </w:rPr>
              <w:t xml:space="preserve">ciepłownicza </w:t>
            </w:r>
            <w:r w:rsidRPr="008F0AA1">
              <w:rPr>
                <w:rFonts w:ascii="Times New Roman" w:hAnsi="Times New Roman"/>
              </w:rPr>
              <w:t>na terenie klastra</w:t>
            </w:r>
            <w:r>
              <w:rPr>
                <w:rFonts w:ascii="Times New Roman" w:hAnsi="Times New Roman"/>
              </w:rPr>
              <w:t xml:space="preserve"> energii;</w:t>
            </w:r>
          </w:p>
          <w:p w14:paraId="32B0C386"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b</w:t>
            </w:r>
            <w:r w:rsidRPr="008F0AA1">
              <w:rPr>
                <w:rFonts w:ascii="Times New Roman" w:hAnsi="Times New Roman"/>
              </w:rPr>
              <w:t xml:space="preserve">ilans energetyczny </w:t>
            </w:r>
            <w:r>
              <w:rPr>
                <w:rFonts w:ascii="Times New Roman" w:hAnsi="Times New Roman"/>
              </w:rPr>
              <w:t>klastra e</w:t>
            </w:r>
            <w:r w:rsidRPr="008F0AA1">
              <w:rPr>
                <w:rFonts w:ascii="Times New Roman" w:hAnsi="Times New Roman"/>
              </w:rPr>
              <w:t>nergii</w:t>
            </w:r>
            <w:r>
              <w:rPr>
                <w:rFonts w:ascii="Times New Roman" w:hAnsi="Times New Roman"/>
              </w:rPr>
              <w:t>;</w:t>
            </w:r>
          </w:p>
          <w:p w14:paraId="4249BB2E" w14:textId="77777777" w:rsidR="00EB79AD" w:rsidRPr="008F0AA1" w:rsidRDefault="00EB79AD" w:rsidP="00EB79AD">
            <w:pPr>
              <w:numPr>
                <w:ilvl w:val="0"/>
                <w:numId w:val="131"/>
              </w:numPr>
              <w:spacing w:line="240" w:lineRule="auto"/>
              <w:contextualSpacing/>
              <w:jc w:val="both"/>
              <w:rPr>
                <w:rFonts w:ascii="Times New Roman" w:hAnsi="Times New Roman"/>
              </w:rPr>
            </w:pPr>
            <w:r>
              <w:rPr>
                <w:rFonts w:ascii="Times New Roman" w:hAnsi="Times New Roman"/>
              </w:rPr>
              <w:t>analiza</w:t>
            </w:r>
            <w:r w:rsidRPr="008F0AA1">
              <w:rPr>
                <w:rFonts w:ascii="Times New Roman" w:hAnsi="Times New Roman"/>
              </w:rPr>
              <w:t xml:space="preserve"> zapotrzebowania klastra </w:t>
            </w:r>
            <w:r>
              <w:rPr>
                <w:rFonts w:ascii="Times New Roman" w:hAnsi="Times New Roman"/>
              </w:rPr>
              <w:t>e</w:t>
            </w:r>
            <w:r w:rsidRPr="008F0AA1">
              <w:rPr>
                <w:rFonts w:ascii="Times New Roman" w:hAnsi="Times New Roman"/>
              </w:rPr>
              <w:t xml:space="preserve">nergii </w:t>
            </w:r>
            <w:r>
              <w:rPr>
                <w:rFonts w:ascii="Times New Roman" w:hAnsi="Times New Roman"/>
              </w:rPr>
              <w:t>na energię;</w:t>
            </w:r>
          </w:p>
          <w:p w14:paraId="219EA2D6" w14:textId="2E9F7B6E" w:rsidR="00EB79AD" w:rsidRPr="008F0AA1" w:rsidRDefault="00734CC0" w:rsidP="00EB79AD">
            <w:pPr>
              <w:numPr>
                <w:ilvl w:val="0"/>
                <w:numId w:val="131"/>
              </w:numPr>
              <w:spacing w:line="240" w:lineRule="auto"/>
              <w:contextualSpacing/>
              <w:jc w:val="both"/>
              <w:rPr>
                <w:rFonts w:ascii="Times New Roman" w:hAnsi="Times New Roman"/>
              </w:rPr>
            </w:pPr>
            <w:r>
              <w:rPr>
                <w:rFonts w:ascii="Times New Roman" w:hAnsi="Times New Roman"/>
              </w:rPr>
              <w:t xml:space="preserve">wolumen </w:t>
            </w:r>
            <w:r w:rsidR="00EB79AD" w:rsidRPr="008F0AA1">
              <w:rPr>
                <w:rFonts w:ascii="Times New Roman" w:hAnsi="Times New Roman"/>
              </w:rPr>
              <w:t>aktualnych</w:t>
            </w:r>
            <w:r w:rsidR="00EB79AD">
              <w:rPr>
                <w:rFonts w:ascii="Times New Roman" w:hAnsi="Times New Roman"/>
              </w:rPr>
              <w:t xml:space="preserve"> jednostek wytwórczych OZE</w:t>
            </w:r>
            <w:r w:rsidR="00DF677B">
              <w:rPr>
                <w:rFonts w:ascii="Times New Roman" w:hAnsi="Times New Roman"/>
              </w:rPr>
              <w:t xml:space="preserve"> działających w ramach klastra</w:t>
            </w:r>
            <w:r w:rsidR="00EB79AD">
              <w:rPr>
                <w:rFonts w:ascii="Times New Roman" w:hAnsi="Times New Roman"/>
              </w:rPr>
              <w:t>;</w:t>
            </w:r>
          </w:p>
          <w:p w14:paraId="5DD9BE63" w14:textId="2B294D05" w:rsidR="00EB79AD" w:rsidRDefault="00EB79AD" w:rsidP="00135BC8">
            <w:pPr>
              <w:numPr>
                <w:ilvl w:val="0"/>
                <w:numId w:val="131"/>
              </w:numPr>
              <w:spacing w:after="120" w:line="240" w:lineRule="auto"/>
              <w:contextualSpacing/>
              <w:jc w:val="both"/>
              <w:rPr>
                <w:rFonts w:ascii="Times New Roman" w:hAnsi="Times New Roman"/>
              </w:rPr>
            </w:pPr>
            <w:r>
              <w:rPr>
                <w:rFonts w:ascii="Times New Roman" w:hAnsi="Times New Roman"/>
              </w:rPr>
              <w:t>p</w:t>
            </w:r>
            <w:r w:rsidRPr="008F0AA1">
              <w:rPr>
                <w:rFonts w:ascii="Times New Roman" w:hAnsi="Times New Roman"/>
              </w:rPr>
              <w:t>otencjał OZE możliwy do zainstal</w:t>
            </w:r>
            <w:r>
              <w:rPr>
                <w:rFonts w:ascii="Times New Roman" w:hAnsi="Times New Roman"/>
              </w:rPr>
              <w:t>owania na terenie działania klastra energii.</w:t>
            </w:r>
          </w:p>
          <w:p w14:paraId="6A7C7282" w14:textId="77777777" w:rsidR="00135BC8" w:rsidRDefault="00135BC8" w:rsidP="00135BC8">
            <w:pPr>
              <w:spacing w:after="120" w:line="240" w:lineRule="auto"/>
              <w:contextualSpacing/>
              <w:jc w:val="both"/>
              <w:rPr>
                <w:rFonts w:ascii="Times New Roman" w:hAnsi="Times New Roman"/>
              </w:rPr>
            </w:pPr>
          </w:p>
          <w:p w14:paraId="373CF13B" w14:textId="39A1E261" w:rsidR="0040388B" w:rsidRPr="000435E7" w:rsidRDefault="0040388B" w:rsidP="0040388B">
            <w:pPr>
              <w:spacing w:line="240" w:lineRule="auto"/>
              <w:jc w:val="both"/>
              <w:rPr>
                <w:rFonts w:ascii="Times New Roman" w:hAnsi="Times New Roman"/>
                <w:b/>
                <w:u w:val="single"/>
              </w:rPr>
            </w:pPr>
            <w:r>
              <w:rPr>
                <w:rFonts w:ascii="Times New Roman" w:hAnsi="Times New Roman"/>
                <w:b/>
                <w:u w:val="single"/>
              </w:rPr>
              <w:t xml:space="preserve">III. 1 </w:t>
            </w:r>
            <w:r w:rsidRPr="000435E7">
              <w:rPr>
                <w:rFonts w:ascii="Times New Roman" w:hAnsi="Times New Roman"/>
                <w:b/>
                <w:u w:val="single"/>
              </w:rPr>
              <w:t>Zwiększenie roli OZE w ciepłownictwie i chłodnictwie</w:t>
            </w:r>
          </w:p>
          <w:p w14:paraId="37FF2A28" w14:textId="77777777" w:rsidR="0040388B" w:rsidRPr="0042638F" w:rsidRDefault="0040388B" w:rsidP="0040388B">
            <w:pPr>
              <w:spacing w:after="120" w:line="240" w:lineRule="auto"/>
              <w:jc w:val="both"/>
              <w:rPr>
                <w:rFonts w:ascii="Times New Roman" w:hAnsi="Times New Roman"/>
                <w:color w:val="000000"/>
                <w:spacing w:val="-2"/>
              </w:rPr>
            </w:pPr>
            <w:r w:rsidRPr="0042638F">
              <w:rPr>
                <w:rFonts w:ascii="Times New Roman" w:hAnsi="Times New Roman"/>
                <w:color w:val="000000"/>
                <w:spacing w:val="-2"/>
              </w:rPr>
              <w:t>W ustawie o odnawialnych źródłach energii doprecyzowuje się przepisy, dotyczące pierwszeństwa zakupu ciepła ze źródeł odnawialnych i instalacji termicznego przekształcania odpadów</w:t>
            </w:r>
            <w:r>
              <w:rPr>
                <w:rFonts w:ascii="Times New Roman" w:hAnsi="Times New Roman"/>
                <w:color w:val="000000"/>
                <w:spacing w:val="-2"/>
              </w:rPr>
              <w:t xml:space="preserve"> oraz wprowadza</w:t>
            </w:r>
            <w:r w:rsidRPr="0042638F">
              <w:rPr>
                <w:rFonts w:ascii="Times New Roman" w:hAnsi="Times New Roman"/>
                <w:color w:val="000000"/>
                <w:spacing w:val="-2"/>
              </w:rPr>
              <w:t xml:space="preserve"> się zasady wydawania i rozliczania gwarancji pochodzenia ciepła i chłodu z OZE</w:t>
            </w:r>
            <w:r>
              <w:rPr>
                <w:rFonts w:ascii="Times New Roman" w:hAnsi="Times New Roman"/>
                <w:color w:val="000000"/>
                <w:spacing w:val="-2"/>
              </w:rPr>
              <w:t xml:space="preserve"> w celu wypromowania i zainteresowania ekologicznymi dostawami ciepła.</w:t>
            </w:r>
          </w:p>
          <w:p w14:paraId="530107DD" w14:textId="6F5DFAD8"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W ustawie</w:t>
            </w:r>
            <w:r>
              <w:rPr>
                <w:rFonts w:ascii="Times New Roman" w:hAnsi="Times New Roman"/>
                <w:color w:val="000000"/>
                <w:spacing w:val="-2"/>
              </w:rPr>
              <w:t xml:space="preserve"> </w:t>
            </w:r>
            <w:r w:rsidR="002A69C3">
              <w:rPr>
                <w:rFonts w:ascii="Times New Roman" w:hAnsi="Times New Roman"/>
                <w:color w:val="000000"/>
                <w:spacing w:val="-2"/>
              </w:rPr>
              <w:t xml:space="preserve">- </w:t>
            </w:r>
            <w:r w:rsidRPr="002210CA">
              <w:rPr>
                <w:rFonts w:ascii="Times New Roman" w:hAnsi="Times New Roman"/>
                <w:color w:val="000000"/>
                <w:spacing w:val="-2"/>
              </w:rPr>
              <w:t xml:space="preserve">Prawo energetyczne wprowadza się zaostrzone warunki obowiązku przyłączania do sieci ciepłowniczej oraz warunki odłączania się od sieci systemu nieefektywnego energetycznego, co jest wymogiem </w:t>
            </w:r>
            <w:r w:rsidR="002A1045">
              <w:rPr>
                <w:rFonts w:ascii="Times New Roman" w:hAnsi="Times New Roman"/>
                <w:color w:val="000000"/>
                <w:spacing w:val="-2"/>
              </w:rPr>
              <w:t>d</w:t>
            </w:r>
            <w:r w:rsidRPr="002210CA">
              <w:rPr>
                <w:rFonts w:ascii="Times New Roman" w:hAnsi="Times New Roman"/>
                <w:color w:val="000000"/>
                <w:spacing w:val="-2"/>
              </w:rPr>
              <w:t>yrektywy RED II.</w:t>
            </w:r>
          </w:p>
          <w:p w14:paraId="69978020" w14:textId="6C5C168E"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 xml:space="preserve">Z powyższym związana jest wprowadzona sprawozdawczość dystrybutora ciepła nt. spełnienia kryteriów efektywnego systemu ciepłowniczego oraz o ilości ciepła z różnych źródeł wprowadzonego do sieci ciepłowniczej, co </w:t>
            </w:r>
            <w:r w:rsidR="00294109">
              <w:rPr>
                <w:rFonts w:ascii="Times New Roman" w:hAnsi="Times New Roman"/>
                <w:color w:val="000000"/>
                <w:spacing w:val="-2"/>
              </w:rPr>
              <w:t>jest</w:t>
            </w:r>
            <w:r w:rsidR="00294109" w:rsidRPr="002210CA">
              <w:rPr>
                <w:rFonts w:ascii="Times New Roman" w:hAnsi="Times New Roman"/>
                <w:color w:val="000000"/>
                <w:spacing w:val="-2"/>
              </w:rPr>
              <w:t xml:space="preserve"> </w:t>
            </w:r>
            <w:r w:rsidRPr="002210CA">
              <w:rPr>
                <w:rFonts w:ascii="Times New Roman" w:hAnsi="Times New Roman"/>
                <w:color w:val="000000"/>
                <w:spacing w:val="-2"/>
              </w:rPr>
              <w:t>konieczne w celu określenia czy system ciepłowniczy spełnia kryteria systemu efektywnego energetycznie lub czy spełni je do końca 2025</w:t>
            </w:r>
            <w:r w:rsidR="00294109">
              <w:rPr>
                <w:rFonts w:ascii="Times New Roman" w:hAnsi="Times New Roman"/>
                <w:color w:val="000000"/>
                <w:spacing w:val="-2"/>
              </w:rPr>
              <w:t> </w:t>
            </w:r>
            <w:r w:rsidRPr="002210CA">
              <w:rPr>
                <w:rFonts w:ascii="Times New Roman" w:hAnsi="Times New Roman"/>
                <w:color w:val="000000"/>
                <w:spacing w:val="-2"/>
              </w:rPr>
              <w:t xml:space="preserve">r. </w:t>
            </w:r>
          </w:p>
          <w:p w14:paraId="741B3978" w14:textId="2DE6D67B" w:rsidR="0040388B"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Powyższe wiąże się z wprowadzeniem przepisu dotyczącego uzgodnienia przez Prezesa URE planu rozwoju przedsiębiorstwa, o którym mowa w art. 16 ustawy – Prawo energetyczne w zakresie dostaw ciepła.</w:t>
            </w:r>
            <w:r w:rsidR="00BB5E5D">
              <w:rPr>
                <w:rFonts w:ascii="Times New Roman" w:hAnsi="Times New Roman"/>
                <w:color w:val="000000"/>
                <w:spacing w:val="-2"/>
              </w:rPr>
              <w:t xml:space="preserve"> </w:t>
            </w:r>
            <w:r w:rsidRPr="002210CA">
              <w:rPr>
                <w:rFonts w:ascii="Times New Roman" w:hAnsi="Times New Roman"/>
                <w:color w:val="000000"/>
                <w:spacing w:val="-2"/>
              </w:rPr>
              <w:t>Wprowadza się obowiązek operatora systemu dystrybucyjnego elektroenergetycznego sporządzenia oceny potencjału systemów ciepłowniczych lub chłodniczych, znajdujących się w obszarze jego działania w celu weryfikacji, czy wykorzystanie zidentyfikowanego potencjału systemu ciepłowniczego lub chłodniczego byłoby bardziej efektywne pod względem zasobów i kosztów, aniżeli rozwiązania alternatywne.</w:t>
            </w:r>
            <w:r>
              <w:rPr>
                <w:rFonts w:ascii="Times New Roman" w:hAnsi="Times New Roman"/>
                <w:color w:val="000000"/>
                <w:spacing w:val="-2"/>
              </w:rPr>
              <w:t xml:space="preserve"> Usankcjonowano </w:t>
            </w:r>
            <w:r w:rsidRPr="00F16D0C">
              <w:rPr>
                <w:rFonts w:ascii="Times New Roman" w:hAnsi="Times New Roman"/>
                <w:color w:val="000000"/>
                <w:spacing w:val="-2"/>
              </w:rPr>
              <w:t>możliwoś</w:t>
            </w:r>
            <w:r>
              <w:rPr>
                <w:rFonts w:ascii="Times New Roman" w:hAnsi="Times New Roman"/>
                <w:color w:val="000000"/>
                <w:spacing w:val="-2"/>
              </w:rPr>
              <w:t xml:space="preserve">ć </w:t>
            </w:r>
            <w:r w:rsidRPr="00F16D0C">
              <w:rPr>
                <w:rFonts w:ascii="Times New Roman" w:hAnsi="Times New Roman"/>
                <w:color w:val="000000"/>
                <w:spacing w:val="-2"/>
              </w:rPr>
              <w:t>odłączenia się od systemu ciepłowniczego przez odbiorcę, który będzie korzystał z w celu ogrzewania z odnawialnych źródeł energii</w:t>
            </w:r>
            <w:r w:rsidR="00294109">
              <w:rPr>
                <w:rFonts w:ascii="Times New Roman" w:hAnsi="Times New Roman"/>
                <w:color w:val="000000"/>
                <w:spacing w:val="-2"/>
              </w:rPr>
              <w:t>, przy czym</w:t>
            </w:r>
            <w:r w:rsidRPr="00F16D0C">
              <w:rPr>
                <w:rFonts w:ascii="Times New Roman" w:hAnsi="Times New Roman"/>
                <w:color w:val="000000"/>
                <w:spacing w:val="-2"/>
              </w:rPr>
              <w:t xml:space="preserve"> odłączenie takie będzie mogło zostać zrealizowane jedynie </w:t>
            </w:r>
            <w:r>
              <w:rPr>
                <w:rFonts w:ascii="Times New Roman" w:hAnsi="Times New Roman"/>
                <w:color w:val="000000"/>
                <w:spacing w:val="-2"/>
              </w:rPr>
              <w:t xml:space="preserve">w przypadku systemu ciepłowniczego, który nie posiada i nie osiągnie statusu efektywnego energetycznie systemu ciepłowniczego w terminie do końca 2025 roku. Jednocześnie przewidziano możliwość obciążenia </w:t>
            </w:r>
            <w:r>
              <w:rPr>
                <w:rFonts w:ascii="Times New Roman" w:hAnsi="Times New Roman"/>
                <w:color w:val="000000"/>
                <w:spacing w:val="-2"/>
              </w:rPr>
              <w:lastRenderedPageBreak/>
              <w:t xml:space="preserve">odłączającego się odbiorcy kosztami wynikającymi z konieczności likwidacji samego przyłącza oraz </w:t>
            </w:r>
            <w:r w:rsidRPr="006A5F14">
              <w:rPr>
                <w:rFonts w:ascii="Times New Roman" w:hAnsi="Times New Roman"/>
                <w:color w:val="000000"/>
                <w:spacing w:val="-2"/>
              </w:rPr>
              <w:t>niezamortyzowanej części rzeczywistych nakładów poniesionych na realizację przyłączenia</w:t>
            </w:r>
            <w:r>
              <w:rPr>
                <w:rFonts w:ascii="Times New Roman" w:hAnsi="Times New Roman"/>
                <w:color w:val="000000"/>
                <w:spacing w:val="-2"/>
              </w:rPr>
              <w:t xml:space="preserve">. </w:t>
            </w:r>
          </w:p>
          <w:p w14:paraId="5378955F" w14:textId="37C723A1"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W zakresie</w:t>
            </w:r>
            <w:r w:rsidRPr="006A5F14">
              <w:rPr>
                <w:rFonts w:ascii="Times New Roman" w:hAnsi="Times New Roman"/>
                <w:color w:val="000000"/>
                <w:spacing w:val="-2"/>
              </w:rPr>
              <w:t xml:space="preserve"> informowania odbiorców końcowych o efektywności energetycznej systemu ciepłowniczego oraz udziale energii odnawialnej w danym systemie ciepłowniczym</w:t>
            </w:r>
            <w:r>
              <w:rPr>
                <w:rFonts w:ascii="Times New Roman" w:hAnsi="Times New Roman"/>
                <w:color w:val="000000"/>
                <w:spacing w:val="-2"/>
              </w:rPr>
              <w:t xml:space="preserve"> przewidziano nałożenie na przedsiębiorstwa ciepłownicze</w:t>
            </w:r>
            <w:r w:rsidR="00294109" w:rsidRPr="00294109">
              <w:rPr>
                <w:rFonts w:ascii="Times New Roman" w:hAnsi="Times New Roman"/>
                <w:color w:val="000000"/>
                <w:spacing w:val="-2"/>
              </w:rPr>
              <w:t xml:space="preserve"> obowiązków</w:t>
            </w:r>
            <w:r>
              <w:rPr>
                <w:rFonts w:ascii="Times New Roman" w:hAnsi="Times New Roman"/>
                <w:color w:val="000000"/>
                <w:spacing w:val="-2"/>
              </w:rPr>
              <w:t xml:space="preserve"> polegających na publikowaniu na stronie internetowej odpowiednich danych.</w:t>
            </w:r>
          </w:p>
          <w:p w14:paraId="54074330" w14:textId="6034E7F0"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przypadku </w:t>
            </w:r>
            <w:r w:rsidRPr="00027C62">
              <w:rPr>
                <w:rFonts w:ascii="Times New Roman" w:hAnsi="Times New Roman"/>
                <w:color w:val="000000"/>
                <w:spacing w:val="-2"/>
              </w:rPr>
              <w:t>określenia potencjału systemów ciepłowniczych pod względem zapewnienia usługi bilansującej i innych usług systemowych</w:t>
            </w:r>
            <w:r>
              <w:rPr>
                <w:rFonts w:ascii="Times New Roman" w:hAnsi="Times New Roman"/>
                <w:color w:val="000000"/>
                <w:spacing w:val="-2"/>
              </w:rPr>
              <w:t>, przewiduje się nałożenie</w:t>
            </w:r>
            <w:r w:rsidR="00294109">
              <w:rPr>
                <w:rFonts w:ascii="Times New Roman" w:hAnsi="Times New Roman"/>
                <w:color w:val="000000"/>
                <w:spacing w:val="-2"/>
              </w:rPr>
              <w:t xml:space="preserve"> </w:t>
            </w:r>
            <w:r w:rsidR="00294109" w:rsidRPr="00294109">
              <w:rPr>
                <w:rFonts w:ascii="Times New Roman" w:hAnsi="Times New Roman"/>
                <w:color w:val="000000"/>
                <w:spacing w:val="-2"/>
              </w:rPr>
              <w:t>na operatorów dystrybucyjnych systemów elektroenergetycznych</w:t>
            </w:r>
            <w:r>
              <w:rPr>
                <w:rFonts w:ascii="Times New Roman" w:hAnsi="Times New Roman"/>
                <w:color w:val="000000"/>
                <w:spacing w:val="-2"/>
              </w:rPr>
              <w:t xml:space="preserve"> obowiązk</w:t>
            </w:r>
            <w:r w:rsidR="00294109">
              <w:rPr>
                <w:rFonts w:ascii="Times New Roman" w:hAnsi="Times New Roman"/>
                <w:color w:val="000000"/>
                <w:spacing w:val="-2"/>
              </w:rPr>
              <w:t>u</w:t>
            </w:r>
            <w:r>
              <w:rPr>
                <w:rFonts w:ascii="Times New Roman" w:hAnsi="Times New Roman"/>
                <w:color w:val="000000"/>
                <w:spacing w:val="-2"/>
              </w:rPr>
              <w:t xml:space="preserve"> przeprowadzenia </w:t>
            </w:r>
            <w:r w:rsidR="00294109">
              <w:rPr>
                <w:rFonts w:ascii="Times New Roman" w:hAnsi="Times New Roman"/>
                <w:color w:val="000000"/>
                <w:spacing w:val="-2"/>
              </w:rPr>
              <w:t xml:space="preserve">co </w:t>
            </w:r>
            <w:r>
              <w:rPr>
                <w:rFonts w:ascii="Times New Roman" w:hAnsi="Times New Roman"/>
                <w:color w:val="000000"/>
                <w:spacing w:val="-2"/>
              </w:rPr>
              <w:t xml:space="preserve">4 lata </w:t>
            </w:r>
            <w:r w:rsidR="00294109">
              <w:rPr>
                <w:rFonts w:ascii="Times New Roman" w:hAnsi="Times New Roman"/>
                <w:color w:val="000000"/>
                <w:spacing w:val="-2"/>
              </w:rPr>
              <w:t xml:space="preserve">stosownej analizy </w:t>
            </w:r>
            <w:r>
              <w:rPr>
                <w:rFonts w:ascii="Times New Roman" w:hAnsi="Times New Roman"/>
                <w:color w:val="000000"/>
                <w:spacing w:val="-2"/>
              </w:rPr>
              <w:t xml:space="preserve">w tym zakresie. </w:t>
            </w:r>
          </w:p>
          <w:p w14:paraId="35A974EF" w14:textId="0C624612"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odniesieniu do krajowego </w:t>
            </w:r>
            <w:r w:rsidRPr="00B061DD">
              <w:rPr>
                <w:rFonts w:ascii="Times New Roman" w:hAnsi="Times New Roman"/>
                <w:color w:val="000000"/>
                <w:spacing w:val="-2"/>
              </w:rPr>
              <w:t>cel</w:t>
            </w:r>
            <w:r>
              <w:rPr>
                <w:rFonts w:ascii="Times New Roman" w:hAnsi="Times New Roman"/>
                <w:color w:val="000000"/>
                <w:spacing w:val="-2"/>
              </w:rPr>
              <w:t>u</w:t>
            </w:r>
            <w:r w:rsidRPr="00B061DD">
              <w:rPr>
                <w:rFonts w:ascii="Times New Roman" w:hAnsi="Times New Roman"/>
                <w:color w:val="000000"/>
                <w:spacing w:val="-2"/>
              </w:rPr>
              <w:t xml:space="preserve"> w zakresie udziału energii z odnawialnych źródeł energii w ciepłownictwie i chłodnictwie oraz orientacyjn</w:t>
            </w:r>
            <w:r>
              <w:rPr>
                <w:rFonts w:ascii="Times New Roman" w:hAnsi="Times New Roman"/>
                <w:color w:val="000000"/>
                <w:spacing w:val="-2"/>
              </w:rPr>
              <w:t>ej</w:t>
            </w:r>
            <w:r w:rsidRPr="00B061DD">
              <w:rPr>
                <w:rFonts w:ascii="Times New Roman" w:hAnsi="Times New Roman"/>
                <w:color w:val="000000"/>
                <w:spacing w:val="-2"/>
              </w:rPr>
              <w:t xml:space="preserve"> trajektor</w:t>
            </w:r>
            <w:r>
              <w:rPr>
                <w:rFonts w:ascii="Times New Roman" w:hAnsi="Times New Roman"/>
                <w:color w:val="000000"/>
                <w:spacing w:val="-2"/>
              </w:rPr>
              <w:t>ii</w:t>
            </w:r>
            <w:r w:rsidRPr="00B061DD">
              <w:rPr>
                <w:rFonts w:ascii="Times New Roman" w:hAnsi="Times New Roman"/>
                <w:color w:val="000000"/>
                <w:spacing w:val="-2"/>
              </w:rPr>
              <w:t xml:space="preserve"> udziału energii z odnawialnych źródeł energii w ciepłownictwie i chłodnictwie </w:t>
            </w:r>
            <w:r w:rsidR="00294109">
              <w:rPr>
                <w:rFonts w:ascii="Times New Roman" w:hAnsi="Times New Roman"/>
                <w:color w:val="000000"/>
                <w:spacing w:val="-2"/>
              </w:rPr>
              <w:t>należy zauważyć</w:t>
            </w:r>
            <w:r>
              <w:rPr>
                <w:rFonts w:ascii="Times New Roman" w:hAnsi="Times New Roman"/>
                <w:color w:val="000000"/>
                <w:spacing w:val="-2"/>
              </w:rPr>
              <w:t xml:space="preserve">, </w:t>
            </w:r>
            <w:r w:rsidR="00294109">
              <w:rPr>
                <w:rFonts w:ascii="Times New Roman" w:hAnsi="Times New Roman"/>
                <w:color w:val="000000"/>
                <w:spacing w:val="-2"/>
              </w:rPr>
              <w:t>że</w:t>
            </w:r>
            <w:r>
              <w:rPr>
                <w:rFonts w:ascii="Times New Roman" w:hAnsi="Times New Roman"/>
                <w:color w:val="000000"/>
                <w:spacing w:val="-2"/>
              </w:rPr>
              <w:t xml:space="preserve"> te wielkości </w:t>
            </w:r>
            <w:r w:rsidRPr="00B061DD">
              <w:rPr>
                <w:rFonts w:ascii="Times New Roman" w:hAnsi="Times New Roman"/>
                <w:color w:val="000000"/>
                <w:spacing w:val="-2"/>
              </w:rPr>
              <w:t>określ</w:t>
            </w:r>
            <w:r>
              <w:rPr>
                <w:rFonts w:ascii="Times New Roman" w:hAnsi="Times New Roman"/>
                <w:color w:val="000000"/>
                <w:spacing w:val="-2"/>
              </w:rPr>
              <w:t>one zostały w</w:t>
            </w:r>
            <w:r w:rsidRPr="00B061DD">
              <w:rPr>
                <w:rFonts w:ascii="Times New Roman" w:hAnsi="Times New Roman"/>
                <w:color w:val="000000"/>
                <w:spacing w:val="-2"/>
              </w:rPr>
              <w:t xml:space="preserve"> zintegrowany</w:t>
            </w:r>
            <w:r>
              <w:rPr>
                <w:rFonts w:ascii="Times New Roman" w:hAnsi="Times New Roman"/>
                <w:color w:val="000000"/>
                <w:spacing w:val="-2"/>
              </w:rPr>
              <w:t>m</w:t>
            </w:r>
            <w:r w:rsidRPr="00B061DD">
              <w:rPr>
                <w:rFonts w:ascii="Times New Roman" w:hAnsi="Times New Roman"/>
                <w:color w:val="000000"/>
                <w:spacing w:val="-2"/>
              </w:rPr>
              <w:t xml:space="preserve"> krajowy</w:t>
            </w:r>
            <w:r>
              <w:rPr>
                <w:rFonts w:ascii="Times New Roman" w:hAnsi="Times New Roman"/>
                <w:color w:val="000000"/>
                <w:spacing w:val="-2"/>
              </w:rPr>
              <w:t>m</w:t>
            </w:r>
            <w:r w:rsidRPr="00B061DD">
              <w:rPr>
                <w:rFonts w:ascii="Times New Roman" w:hAnsi="Times New Roman"/>
                <w:color w:val="000000"/>
                <w:spacing w:val="-2"/>
              </w:rPr>
              <w:t xml:space="preserve"> plan</w:t>
            </w:r>
            <w:r>
              <w:rPr>
                <w:rFonts w:ascii="Times New Roman" w:hAnsi="Times New Roman"/>
                <w:color w:val="000000"/>
                <w:spacing w:val="-2"/>
              </w:rPr>
              <w:t>ie</w:t>
            </w:r>
            <w:r w:rsidRPr="00B061DD">
              <w:rPr>
                <w:rFonts w:ascii="Times New Roman" w:hAnsi="Times New Roman"/>
                <w:color w:val="000000"/>
                <w:spacing w:val="-2"/>
              </w:rPr>
              <w:t xml:space="preserve"> w dziedzinie energii i klimatu</w:t>
            </w:r>
            <w:r>
              <w:rPr>
                <w:rFonts w:ascii="Times New Roman" w:hAnsi="Times New Roman"/>
                <w:color w:val="000000"/>
                <w:spacing w:val="-2"/>
              </w:rPr>
              <w:t>,</w:t>
            </w:r>
            <w:r w:rsidRPr="00B061DD">
              <w:rPr>
                <w:rFonts w:ascii="Times New Roman" w:hAnsi="Times New Roman"/>
                <w:color w:val="000000"/>
                <w:spacing w:val="-2"/>
              </w:rPr>
              <w:t xml:space="preserve"> </w:t>
            </w:r>
            <w:r w:rsidR="00294109">
              <w:rPr>
                <w:rFonts w:ascii="Times New Roman" w:hAnsi="Times New Roman"/>
                <w:color w:val="000000"/>
                <w:spacing w:val="-2"/>
              </w:rPr>
              <w:t xml:space="preserve">wydawanym </w:t>
            </w:r>
            <w:r w:rsidR="00734CC0">
              <w:rPr>
                <w:rFonts w:ascii="Times New Roman" w:hAnsi="Times New Roman"/>
                <w:color w:val="000000"/>
                <w:spacing w:val="-2"/>
              </w:rPr>
              <w:t>z</w:t>
            </w:r>
            <w:r w:rsidR="00294109">
              <w:rPr>
                <w:rFonts w:ascii="Times New Roman" w:hAnsi="Times New Roman"/>
                <w:color w:val="000000"/>
                <w:spacing w:val="-2"/>
              </w:rPr>
              <w:t xml:space="preserve">godnie z </w:t>
            </w:r>
            <w:r w:rsidRPr="00B061DD">
              <w:rPr>
                <w:rFonts w:ascii="Times New Roman" w:hAnsi="Times New Roman"/>
                <w:color w:val="000000"/>
                <w:spacing w:val="-2"/>
              </w:rPr>
              <w:t>rozporządzeni</w:t>
            </w:r>
            <w:r w:rsidR="00294109">
              <w:rPr>
                <w:rFonts w:ascii="Times New Roman" w:hAnsi="Times New Roman"/>
                <w:color w:val="000000"/>
                <w:spacing w:val="-2"/>
              </w:rPr>
              <w:t>em</w:t>
            </w:r>
            <w:r w:rsidRPr="00B061DD">
              <w:rPr>
                <w:rFonts w:ascii="Times New Roman" w:hAnsi="Times New Roman"/>
                <w:color w:val="000000"/>
                <w:spacing w:val="-2"/>
              </w:rPr>
              <w:t xml:space="preserve"> Parlamentu Europejskiego i Rady (UE) 2018/1999 z dnia 11 grudnia 2018 r. w sprawie zarządzania unią energetyczną i działaniami w dziedzinie klimatu</w:t>
            </w:r>
            <w:r>
              <w:rPr>
                <w:rFonts w:ascii="Times New Roman" w:hAnsi="Times New Roman"/>
                <w:color w:val="000000"/>
                <w:spacing w:val="-2"/>
              </w:rPr>
              <w:t xml:space="preserve">. Na ministra właściwego do spraw klimatu przewiduje się nałożenie obowiązku monitorowania realizacji powyższego celu. </w:t>
            </w:r>
          </w:p>
          <w:p w14:paraId="40F7CF43" w14:textId="68B2D1C1" w:rsidR="0040388B" w:rsidRDefault="0040388B" w:rsidP="0040388B">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zakresie obowiązku </w:t>
            </w:r>
            <w:r w:rsidRPr="00D378F7">
              <w:rPr>
                <w:rFonts w:ascii="Times New Roman" w:hAnsi="Times New Roman"/>
                <w:color w:val="000000"/>
                <w:spacing w:val="-2"/>
              </w:rPr>
              <w:t>publikowania wykazu środków</w:t>
            </w:r>
            <w:r>
              <w:rPr>
                <w:rFonts w:ascii="Times New Roman" w:hAnsi="Times New Roman"/>
                <w:color w:val="000000"/>
                <w:spacing w:val="-2"/>
              </w:rPr>
              <w:t xml:space="preserve"> i </w:t>
            </w:r>
            <w:r w:rsidRPr="00D378F7">
              <w:rPr>
                <w:rFonts w:ascii="Times New Roman" w:hAnsi="Times New Roman"/>
                <w:color w:val="000000"/>
                <w:spacing w:val="-2"/>
              </w:rPr>
              <w:t>podmiotów zobowiązanych realizujących cel, o którym mowa w art. 23 ust. 1</w:t>
            </w:r>
            <w:r>
              <w:rPr>
                <w:rFonts w:ascii="Times New Roman" w:hAnsi="Times New Roman"/>
                <w:color w:val="000000"/>
                <w:spacing w:val="-2"/>
              </w:rPr>
              <w:t xml:space="preserve"> dyrektywy 2018/2001, proponuje się</w:t>
            </w:r>
            <w:r w:rsidR="00294109">
              <w:rPr>
                <w:rFonts w:ascii="Times New Roman" w:hAnsi="Times New Roman"/>
                <w:color w:val="000000"/>
                <w:spacing w:val="-2"/>
              </w:rPr>
              <w:t xml:space="preserve">, aby obowiązek taki spoczywał na ministrze właściwym do spraw klimatu, który dane te będzie publikować na swoich stronach </w:t>
            </w:r>
            <w:r w:rsidRPr="00D378F7">
              <w:rPr>
                <w:rFonts w:ascii="Times New Roman" w:hAnsi="Times New Roman"/>
                <w:color w:val="000000"/>
                <w:spacing w:val="-2"/>
              </w:rPr>
              <w:t>Biuletyn</w:t>
            </w:r>
            <w:r w:rsidR="00294109">
              <w:rPr>
                <w:rFonts w:ascii="Times New Roman" w:hAnsi="Times New Roman"/>
                <w:color w:val="000000"/>
                <w:spacing w:val="-2"/>
              </w:rPr>
              <w:t>u</w:t>
            </w:r>
            <w:r w:rsidRPr="00D378F7">
              <w:rPr>
                <w:rFonts w:ascii="Times New Roman" w:hAnsi="Times New Roman"/>
                <w:color w:val="000000"/>
                <w:spacing w:val="-2"/>
              </w:rPr>
              <w:t xml:space="preserve"> Informacji Publicznej</w:t>
            </w:r>
            <w:r>
              <w:rPr>
                <w:rFonts w:ascii="Times New Roman" w:hAnsi="Times New Roman"/>
                <w:color w:val="000000"/>
                <w:spacing w:val="-2"/>
              </w:rPr>
              <w:t xml:space="preserve">. </w:t>
            </w:r>
          </w:p>
          <w:p w14:paraId="184D6DEF" w14:textId="77777777" w:rsidR="00B424F8"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W ustawie – Prawo energetyczne</w:t>
            </w:r>
            <w:r w:rsidR="00E75C92">
              <w:rPr>
                <w:rFonts w:ascii="Times New Roman" w:hAnsi="Times New Roman"/>
                <w:color w:val="000000"/>
                <w:spacing w:val="-2"/>
              </w:rPr>
              <w:t>,</w:t>
            </w:r>
            <w:r w:rsidRPr="002210CA">
              <w:rPr>
                <w:rFonts w:ascii="Times New Roman" w:hAnsi="Times New Roman"/>
                <w:color w:val="000000"/>
                <w:spacing w:val="-2"/>
              </w:rPr>
              <w:t xml:space="preserve"> w zakresie budowy, modernizacji i przyłączania źródeł ciepła będących instalacjami OZE oraz źródeł ciepła odpadowego, zapewnia się zwrot z kapitału zaangażowany w tę działalność w wysokości nie mniejszej niż stopa zwrotu 7%</w:t>
            </w:r>
            <w:r w:rsidR="00353589">
              <w:rPr>
                <w:rFonts w:ascii="Times New Roman" w:hAnsi="Times New Roman"/>
                <w:color w:val="000000"/>
                <w:spacing w:val="-2"/>
              </w:rPr>
              <w:t xml:space="preserve">. </w:t>
            </w:r>
            <w:r w:rsidR="00353589" w:rsidRPr="00353589">
              <w:rPr>
                <w:rFonts w:ascii="Times New Roman" w:hAnsi="Times New Roman"/>
                <w:color w:val="000000"/>
                <w:spacing w:val="-2"/>
              </w:rPr>
              <w:t>Tego rodzaju zachęta spowoduje korzyść zarówno dla środowiska poprzez redukcję emisji spowodowanej spalaniem paliw kopalnych, a przede wszystkim węgla kamiennego, jak i dla korzyści ekonomicznej odbiorców, bowiem redukcja kosztów emisji jest większa niż koszt zwiększonej – ponad uznawaną aktualnie w taryfach (4,8%) przez Prezesa URE stopę zwrotu z kapitału.  Skumulowana wartość oszczędności odbiorców w perspektywie 10 lat wynosi blisko 1</w:t>
            </w:r>
            <w:r w:rsidR="006C1BC1">
              <w:rPr>
                <w:rFonts w:ascii="Times New Roman" w:hAnsi="Times New Roman"/>
                <w:color w:val="000000"/>
                <w:spacing w:val="-2"/>
              </w:rPr>
              <w:t>,</w:t>
            </w:r>
            <w:r w:rsidR="00353589" w:rsidRPr="00353589">
              <w:rPr>
                <w:rFonts w:ascii="Times New Roman" w:hAnsi="Times New Roman"/>
                <w:color w:val="000000"/>
                <w:spacing w:val="-2"/>
              </w:rPr>
              <w:t>3 mld zł</w:t>
            </w:r>
            <w:r w:rsidR="00353589">
              <w:rPr>
                <w:rFonts w:ascii="Times New Roman" w:hAnsi="Times New Roman"/>
                <w:color w:val="000000"/>
                <w:spacing w:val="-2"/>
              </w:rPr>
              <w:t>.</w:t>
            </w:r>
            <w:r w:rsidR="002D728C">
              <w:rPr>
                <w:rFonts w:ascii="Times New Roman" w:hAnsi="Times New Roman"/>
                <w:color w:val="000000"/>
                <w:spacing w:val="-2"/>
              </w:rPr>
              <w:t xml:space="preserve"> </w:t>
            </w:r>
          </w:p>
          <w:p w14:paraId="0DE39991" w14:textId="1CC20547" w:rsidR="008539E5" w:rsidRDefault="008539E5" w:rsidP="001E311A">
            <w:pPr>
              <w:spacing w:after="120" w:line="240" w:lineRule="auto"/>
              <w:jc w:val="both"/>
              <w:rPr>
                <w:rFonts w:ascii="Times New Roman" w:hAnsi="Times New Roman"/>
                <w:color w:val="000000"/>
                <w:spacing w:val="-2"/>
              </w:rPr>
            </w:pPr>
            <w:r w:rsidRPr="008539E5">
              <w:rPr>
                <w:rFonts w:ascii="Times New Roman" w:hAnsi="Times New Roman"/>
                <w:color w:val="000000"/>
                <w:spacing w:val="-2"/>
              </w:rPr>
              <w:t xml:space="preserve">Zagwarantowanie 7% stopy zwrotu z kapitału jest tylko jednym ze składników planowanych przychodów ujmowanych w taryfie dla ciepła, natomiast wynikające z promowanych inwestycji odejście od spalania paliwa węglowego ma zapewnić zredukowanie emisji dwutlenku węgla, które kosztowo jest pięciokrotnie wyższe niż cała kwota zwrotu z kapitału. Przy uwzględnieniu zmienności innych składników kosztowych w taryfie dla ciepła oraz założeniu planowanego wzrostu udziału ciepła z OZE o 1 </w:t>
            </w:r>
            <w:proofErr w:type="spellStart"/>
            <w:r w:rsidRPr="008539E5">
              <w:rPr>
                <w:rFonts w:ascii="Times New Roman" w:hAnsi="Times New Roman"/>
                <w:color w:val="000000"/>
                <w:spacing w:val="-2"/>
              </w:rPr>
              <w:t>p.p</w:t>
            </w:r>
            <w:proofErr w:type="spellEnd"/>
            <w:r w:rsidRPr="008539E5">
              <w:rPr>
                <w:rFonts w:ascii="Times New Roman" w:hAnsi="Times New Roman"/>
                <w:color w:val="000000"/>
                <w:spacing w:val="-2"/>
              </w:rPr>
              <w:t xml:space="preserve">. r/r – dla odbiorcy ciepła, w tym dla gospodarstw domowych – opłaty za ciepło będą neutralne </w:t>
            </w:r>
            <w:r w:rsidR="009B6A6F">
              <w:rPr>
                <w:rFonts w:ascii="Times New Roman" w:hAnsi="Times New Roman"/>
                <w:color w:val="000000"/>
                <w:spacing w:val="-2"/>
              </w:rPr>
              <w:t xml:space="preserve">lub korzystne </w:t>
            </w:r>
            <w:r w:rsidRPr="008539E5">
              <w:rPr>
                <w:rFonts w:ascii="Times New Roman" w:hAnsi="Times New Roman"/>
                <w:color w:val="000000"/>
                <w:spacing w:val="-2"/>
              </w:rPr>
              <w:t>z powodu zagwarantowania stopy zwrotu z kapitału na poziomie 7%</w:t>
            </w:r>
            <w:r w:rsidR="001E311A">
              <w:rPr>
                <w:rFonts w:ascii="Times New Roman" w:hAnsi="Times New Roman"/>
                <w:color w:val="000000"/>
                <w:spacing w:val="-2"/>
              </w:rPr>
              <w:t>, na co wskazuje tabela 1 w załączniku 5 niniejszej Oceny Skutków Regulacji.</w:t>
            </w:r>
          </w:p>
          <w:p w14:paraId="7DD72064" w14:textId="5C824D7D" w:rsidR="0040388B" w:rsidRPr="002210CA" w:rsidRDefault="00353589" w:rsidP="0040388B">
            <w:pPr>
              <w:spacing w:after="120" w:line="240" w:lineRule="auto"/>
              <w:jc w:val="both"/>
              <w:rPr>
                <w:rFonts w:ascii="Times New Roman" w:hAnsi="Times New Roman"/>
                <w:color w:val="000000"/>
                <w:spacing w:val="-2"/>
              </w:rPr>
            </w:pPr>
            <w:r>
              <w:rPr>
                <w:rFonts w:ascii="Times New Roman" w:hAnsi="Times New Roman"/>
                <w:color w:val="000000"/>
                <w:spacing w:val="-2"/>
              </w:rPr>
              <w:t>Zwalnia się t</w:t>
            </w:r>
            <w:r w:rsidR="0040388B">
              <w:rPr>
                <w:rFonts w:ascii="Times New Roman" w:hAnsi="Times New Roman"/>
                <w:color w:val="000000"/>
                <w:spacing w:val="-2"/>
              </w:rPr>
              <w:t>akże</w:t>
            </w:r>
            <w:r>
              <w:rPr>
                <w:rFonts w:ascii="Times New Roman" w:hAnsi="Times New Roman"/>
                <w:color w:val="000000"/>
                <w:spacing w:val="-2"/>
              </w:rPr>
              <w:t xml:space="preserve"> </w:t>
            </w:r>
            <w:r w:rsidR="0040388B" w:rsidRPr="002210CA">
              <w:rPr>
                <w:rFonts w:ascii="Times New Roman" w:hAnsi="Times New Roman"/>
                <w:color w:val="000000"/>
                <w:spacing w:val="-2"/>
              </w:rPr>
              <w:t>z obowiązku przedstawienia taryf do zatwierdzenia Prezesowi URE w części dotyczącej źródeł do 5MW mocy zainstalowanej, które</w:t>
            </w:r>
            <w:r w:rsidR="0040388B">
              <w:rPr>
                <w:rFonts w:ascii="Times New Roman" w:hAnsi="Times New Roman"/>
                <w:color w:val="000000"/>
                <w:spacing w:val="-2"/>
              </w:rPr>
              <w:t xml:space="preserve"> </w:t>
            </w:r>
            <w:r w:rsidR="0040388B" w:rsidRPr="002210CA">
              <w:rPr>
                <w:rFonts w:ascii="Times New Roman" w:hAnsi="Times New Roman"/>
                <w:color w:val="000000"/>
                <w:spacing w:val="-2"/>
              </w:rPr>
              <w:t>charakteryzują się współczynnikiem nakładu nieodnawialnej energii pierwotnej nie wyższym niż 0,8, a ciepło wytworzone stanowi nie mniej niż 60 % OZE;</w:t>
            </w:r>
          </w:p>
          <w:p w14:paraId="4102A17A" w14:textId="4088B50B" w:rsidR="0040388B" w:rsidRPr="002210CA" w:rsidRDefault="0040388B" w:rsidP="0040388B">
            <w:pPr>
              <w:spacing w:after="120" w:line="240" w:lineRule="auto"/>
              <w:jc w:val="both"/>
              <w:rPr>
                <w:rFonts w:ascii="Times New Roman" w:hAnsi="Times New Roman"/>
                <w:color w:val="000000"/>
                <w:spacing w:val="-2"/>
              </w:rPr>
            </w:pPr>
            <w:r w:rsidRPr="002210CA">
              <w:rPr>
                <w:rFonts w:ascii="Times New Roman" w:hAnsi="Times New Roman"/>
                <w:color w:val="000000"/>
                <w:spacing w:val="-2"/>
              </w:rPr>
              <w:t xml:space="preserve">W </w:t>
            </w:r>
            <w:r>
              <w:rPr>
                <w:rFonts w:ascii="Times New Roman" w:hAnsi="Times New Roman"/>
                <w:color w:val="000000"/>
                <w:spacing w:val="-2"/>
              </w:rPr>
              <w:t>ustawie – Prawo energetyczne</w:t>
            </w:r>
            <w:r w:rsidRPr="002210CA">
              <w:rPr>
                <w:rFonts w:ascii="Times New Roman" w:hAnsi="Times New Roman"/>
                <w:color w:val="000000"/>
                <w:spacing w:val="-2"/>
              </w:rPr>
              <w:t xml:space="preserve"> uwzględnia się </w:t>
            </w:r>
            <w:r w:rsidR="00E75C92">
              <w:rPr>
                <w:rFonts w:ascii="Times New Roman" w:hAnsi="Times New Roman"/>
                <w:color w:val="000000"/>
                <w:spacing w:val="-2"/>
              </w:rPr>
              <w:t xml:space="preserve">także </w:t>
            </w:r>
            <w:r w:rsidRPr="002210CA">
              <w:rPr>
                <w:rFonts w:ascii="Times New Roman" w:hAnsi="Times New Roman"/>
                <w:color w:val="000000"/>
                <w:spacing w:val="-2"/>
              </w:rPr>
              <w:t>możliwość odejścia przez przedsiębiorstwa wytwarzające ciepło w kogeneracji od sposobu kształtowania taryf w sposób uproszczony, jednak z konsekwencją braku możliwości zmiany przyjętego kosztowego kształtowania taryfy dla ciepła.</w:t>
            </w:r>
          </w:p>
          <w:p w14:paraId="1ECDD100" w14:textId="09605F6F" w:rsidR="00665118" w:rsidRPr="000435E7" w:rsidRDefault="0040388B" w:rsidP="00665118">
            <w:pPr>
              <w:spacing w:line="240" w:lineRule="auto"/>
              <w:jc w:val="both"/>
              <w:rPr>
                <w:rFonts w:ascii="Times New Roman" w:hAnsi="Times New Roman"/>
                <w:b/>
                <w:color w:val="000000"/>
                <w:u w:val="single"/>
              </w:rPr>
            </w:pPr>
            <w:r>
              <w:rPr>
                <w:rFonts w:ascii="Times New Roman" w:hAnsi="Times New Roman"/>
                <w:b/>
                <w:color w:val="000000"/>
                <w:u w:val="single"/>
              </w:rPr>
              <w:t xml:space="preserve">III.2 </w:t>
            </w:r>
            <w:r w:rsidR="00665118" w:rsidRPr="000435E7">
              <w:rPr>
                <w:rFonts w:ascii="Times New Roman" w:hAnsi="Times New Roman"/>
                <w:b/>
                <w:color w:val="000000"/>
                <w:u w:val="single"/>
              </w:rPr>
              <w:t>Gwarancje pochodzenia</w:t>
            </w:r>
          </w:p>
          <w:p w14:paraId="58D7B05C" w14:textId="37C3DF5B" w:rsidR="00665118"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Implementacja </w:t>
            </w:r>
            <w:r w:rsidR="00E64170">
              <w:rPr>
                <w:rFonts w:ascii="Times New Roman" w:hAnsi="Times New Roman"/>
                <w:bCs/>
                <w:color w:val="000000"/>
              </w:rPr>
              <w:t>d</w:t>
            </w:r>
            <w:r w:rsidRPr="002D7FC1">
              <w:rPr>
                <w:rFonts w:ascii="Times New Roman" w:hAnsi="Times New Roman"/>
                <w:bCs/>
                <w:color w:val="000000"/>
              </w:rPr>
              <w:t xml:space="preserve">yrektywy </w:t>
            </w:r>
            <w:r w:rsidR="00064CC9">
              <w:rPr>
                <w:rFonts w:ascii="Times New Roman" w:hAnsi="Times New Roman"/>
                <w:bCs/>
                <w:color w:val="000000"/>
              </w:rPr>
              <w:t>RED II</w:t>
            </w:r>
            <w:r w:rsidRPr="002D7FC1">
              <w:rPr>
                <w:rFonts w:ascii="Times New Roman" w:hAnsi="Times New Roman"/>
                <w:bCs/>
                <w:color w:val="000000"/>
              </w:rPr>
              <w:t xml:space="preserve"> wymaga nowelizacji przepisów w szczególności w poniższych obszarach</w:t>
            </w:r>
            <w:r w:rsidR="00E64170">
              <w:rPr>
                <w:rFonts w:ascii="Times New Roman" w:hAnsi="Times New Roman"/>
                <w:bCs/>
                <w:color w:val="000000"/>
              </w:rPr>
              <w:t>:</w:t>
            </w:r>
          </w:p>
          <w:p w14:paraId="65959E93" w14:textId="679C92F5"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 xml:space="preserve">Przystąpienie </w:t>
            </w:r>
            <w:r w:rsidR="00E75C92">
              <w:rPr>
                <w:rFonts w:ascii="Times New Roman" w:hAnsi="Times New Roman"/>
                <w:bCs/>
                <w:color w:val="000000"/>
              </w:rPr>
              <w:t>Prezesa URE,</w:t>
            </w:r>
            <w:r w:rsidRPr="006023C6">
              <w:rPr>
                <w:rFonts w:ascii="Times New Roman" w:hAnsi="Times New Roman"/>
                <w:bCs/>
                <w:color w:val="000000"/>
              </w:rPr>
              <w:t xml:space="preserve"> jako organu wydającego gwarancje pochodzenia w Polsce, </w:t>
            </w:r>
            <w:r w:rsidRPr="000D3F79">
              <w:rPr>
                <w:rFonts w:ascii="Times New Roman" w:hAnsi="Times New Roman"/>
                <w:bCs/>
                <w:color w:val="000000"/>
              </w:rPr>
              <w:t xml:space="preserve">do stowarzyszenia AIB, zrzeszającego podmioty wydające gwarancje pochodzenia, a </w:t>
            </w:r>
            <w:r w:rsidR="00E75C92">
              <w:rPr>
                <w:rFonts w:ascii="Times New Roman" w:hAnsi="Times New Roman"/>
                <w:bCs/>
                <w:color w:val="000000"/>
              </w:rPr>
              <w:t>w konsekwencji</w:t>
            </w:r>
            <w:r w:rsidRPr="000D3F79">
              <w:rPr>
                <w:rFonts w:ascii="Times New Roman" w:hAnsi="Times New Roman"/>
                <w:bCs/>
                <w:color w:val="000000"/>
              </w:rPr>
              <w:t xml:space="preserve"> synchronizacja polskiego rejestru z HUB-em prowadzonym przez AIB oraz standardem </w:t>
            </w:r>
            <w:proofErr w:type="spellStart"/>
            <w:r w:rsidRPr="000D3F79">
              <w:rPr>
                <w:rFonts w:ascii="Times New Roman" w:hAnsi="Times New Roman"/>
                <w:bCs/>
                <w:color w:val="000000"/>
              </w:rPr>
              <w:t>European</w:t>
            </w:r>
            <w:proofErr w:type="spellEnd"/>
            <w:r w:rsidRPr="000D3F79">
              <w:rPr>
                <w:rFonts w:ascii="Times New Roman" w:hAnsi="Times New Roman"/>
                <w:bCs/>
                <w:color w:val="000000"/>
              </w:rPr>
              <w:t xml:space="preserve"> Energy </w:t>
            </w:r>
            <w:proofErr w:type="spellStart"/>
            <w:r w:rsidRPr="000D3F79">
              <w:rPr>
                <w:rFonts w:ascii="Times New Roman" w:hAnsi="Times New Roman"/>
                <w:bCs/>
                <w:color w:val="000000"/>
              </w:rPr>
              <w:t>Certificate</w:t>
            </w:r>
            <w:proofErr w:type="spellEnd"/>
            <w:r w:rsidRPr="000D3F79">
              <w:rPr>
                <w:rFonts w:ascii="Times New Roman" w:hAnsi="Times New Roman"/>
                <w:bCs/>
                <w:color w:val="000000"/>
              </w:rPr>
              <w:t xml:space="preserve"> System (EECS).</w:t>
            </w:r>
          </w:p>
          <w:p w14:paraId="37F14F7C" w14:textId="77777777"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 xml:space="preserve">Należyte uwzględnienie wartości rynkowej gwarancji pochodzenia wobec producenta, który otrzymuje wsparcie finansowe z systemu wsparcia. </w:t>
            </w:r>
          </w:p>
          <w:p w14:paraId="3F8318F8" w14:textId="77777777"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Uwzględnienie w krajowym porządku prawnym wymogów normy CEN - EN 16325 po jej aktualizacji i zatwierdzeniu.</w:t>
            </w:r>
          </w:p>
          <w:p w14:paraId="2361C287" w14:textId="0F4D89D0"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Rozszerzenie rejestru gwarancji pochodzenia prowadzonego przez Towarową Giełdę Energii (</w:t>
            </w:r>
            <w:r w:rsidR="00E64170">
              <w:rPr>
                <w:rFonts w:ascii="Times New Roman" w:hAnsi="Times New Roman"/>
                <w:bCs/>
                <w:color w:val="000000"/>
              </w:rPr>
              <w:t>„</w:t>
            </w:r>
            <w:r w:rsidRPr="000D3F79">
              <w:rPr>
                <w:rFonts w:ascii="Times New Roman" w:hAnsi="Times New Roman"/>
                <w:bCs/>
                <w:color w:val="000000"/>
              </w:rPr>
              <w:t>TGE</w:t>
            </w:r>
            <w:r w:rsidR="00E64170">
              <w:rPr>
                <w:rFonts w:ascii="Times New Roman" w:hAnsi="Times New Roman"/>
                <w:bCs/>
                <w:color w:val="000000"/>
              </w:rPr>
              <w:t>”</w:t>
            </w:r>
            <w:r w:rsidRPr="000D3F79">
              <w:rPr>
                <w:rFonts w:ascii="Times New Roman" w:hAnsi="Times New Roman"/>
                <w:bCs/>
                <w:color w:val="000000"/>
              </w:rPr>
              <w:t>) o nowe nośniki energii: gaz</w:t>
            </w:r>
            <w:r>
              <w:rPr>
                <w:rFonts w:ascii="Times New Roman" w:hAnsi="Times New Roman"/>
                <w:bCs/>
                <w:color w:val="000000"/>
              </w:rPr>
              <w:t xml:space="preserve"> z odnawialnych źródeł (</w:t>
            </w:r>
            <w:proofErr w:type="spellStart"/>
            <w:r>
              <w:rPr>
                <w:rFonts w:ascii="Times New Roman" w:hAnsi="Times New Roman"/>
                <w:bCs/>
                <w:color w:val="000000"/>
              </w:rPr>
              <w:t>biometan</w:t>
            </w:r>
            <w:proofErr w:type="spellEnd"/>
            <w:r>
              <w:rPr>
                <w:rFonts w:ascii="Times New Roman" w:hAnsi="Times New Roman"/>
                <w:bCs/>
                <w:color w:val="000000"/>
              </w:rPr>
              <w:t>)</w:t>
            </w:r>
            <w:r w:rsidRPr="000D3F79">
              <w:rPr>
                <w:rFonts w:ascii="Times New Roman" w:hAnsi="Times New Roman"/>
                <w:bCs/>
                <w:color w:val="000000"/>
              </w:rPr>
              <w:t>, w tym wodór</w:t>
            </w:r>
            <w:r w:rsidR="00E64170">
              <w:rPr>
                <w:rFonts w:ascii="Times New Roman" w:hAnsi="Times New Roman"/>
                <w:bCs/>
                <w:color w:val="000000"/>
              </w:rPr>
              <w:t>, ciepło oraz chłód</w:t>
            </w:r>
            <w:r w:rsidRPr="000D3F79">
              <w:rPr>
                <w:rFonts w:ascii="Times New Roman" w:hAnsi="Times New Roman"/>
                <w:bCs/>
                <w:color w:val="000000"/>
              </w:rPr>
              <w:t xml:space="preserve">. </w:t>
            </w:r>
          </w:p>
          <w:p w14:paraId="7870861D" w14:textId="2AE8B329" w:rsidR="00665118" w:rsidRPr="000D3F79" w:rsidRDefault="00665118" w:rsidP="00665118">
            <w:pPr>
              <w:pStyle w:val="Akapitzlist"/>
              <w:numPr>
                <w:ilvl w:val="0"/>
                <w:numId w:val="132"/>
              </w:numPr>
              <w:spacing w:after="120" w:line="240" w:lineRule="auto"/>
              <w:ind w:left="633"/>
              <w:jc w:val="both"/>
              <w:rPr>
                <w:rFonts w:ascii="Times New Roman" w:hAnsi="Times New Roman"/>
                <w:bCs/>
                <w:color w:val="000000"/>
              </w:rPr>
            </w:pPr>
            <w:r w:rsidRPr="000D3F79">
              <w:rPr>
                <w:rFonts w:ascii="Times New Roman" w:hAnsi="Times New Roman"/>
                <w:bCs/>
                <w:color w:val="000000"/>
              </w:rPr>
              <w:t>Dostosowanie funkcjonalności rejestru gwarancji pochodzenia prowadzonego przez TGE</w:t>
            </w:r>
            <w:r w:rsidR="002A3554">
              <w:rPr>
                <w:rFonts w:ascii="Times New Roman" w:hAnsi="Times New Roman"/>
                <w:bCs/>
                <w:color w:val="000000"/>
              </w:rPr>
              <w:t xml:space="preserve"> do nowych przepisów</w:t>
            </w:r>
            <w:r w:rsidRPr="000D3F79">
              <w:rPr>
                <w:rFonts w:ascii="Times New Roman" w:hAnsi="Times New Roman"/>
                <w:bCs/>
                <w:color w:val="000000"/>
              </w:rPr>
              <w:t>.</w:t>
            </w:r>
          </w:p>
          <w:p w14:paraId="0FD5F4E8" w14:textId="77777777" w:rsidR="00665118" w:rsidRPr="002D7FC1" w:rsidRDefault="00665118" w:rsidP="00665118">
            <w:pPr>
              <w:spacing w:line="240" w:lineRule="auto"/>
              <w:jc w:val="both"/>
              <w:rPr>
                <w:rFonts w:ascii="Times New Roman" w:hAnsi="Times New Roman"/>
                <w:bCs/>
                <w:color w:val="000000"/>
              </w:rPr>
            </w:pPr>
            <w:r w:rsidRPr="002D7FC1">
              <w:rPr>
                <w:rFonts w:ascii="Times New Roman" w:hAnsi="Times New Roman"/>
                <w:bCs/>
                <w:color w:val="000000"/>
              </w:rPr>
              <w:t>Ad. 1.</w:t>
            </w:r>
          </w:p>
          <w:p w14:paraId="1E213130" w14:textId="77777777" w:rsidR="00665118" w:rsidRPr="002D7FC1" w:rsidRDefault="00665118" w:rsidP="00665118">
            <w:pPr>
              <w:spacing w:after="120" w:line="240" w:lineRule="auto"/>
              <w:jc w:val="both"/>
              <w:rPr>
                <w:rFonts w:ascii="Times New Roman" w:hAnsi="Times New Roman"/>
                <w:bCs/>
                <w:color w:val="000000"/>
              </w:rPr>
            </w:pPr>
            <w:r>
              <w:rPr>
                <w:rFonts w:ascii="Times New Roman" w:hAnsi="Times New Roman"/>
                <w:bCs/>
                <w:color w:val="000000"/>
              </w:rPr>
              <w:t>Brak c</w:t>
            </w:r>
            <w:r w:rsidRPr="002D7FC1">
              <w:rPr>
                <w:rFonts w:ascii="Times New Roman" w:hAnsi="Times New Roman"/>
                <w:bCs/>
                <w:color w:val="000000"/>
              </w:rPr>
              <w:t>złonkostw</w:t>
            </w:r>
            <w:r>
              <w:rPr>
                <w:rFonts w:ascii="Times New Roman" w:hAnsi="Times New Roman"/>
                <w:bCs/>
                <w:color w:val="000000"/>
              </w:rPr>
              <w:t>a</w:t>
            </w:r>
            <w:r w:rsidRPr="002D7FC1">
              <w:rPr>
                <w:rFonts w:ascii="Times New Roman" w:hAnsi="Times New Roman"/>
                <w:bCs/>
                <w:color w:val="000000"/>
              </w:rPr>
              <w:t xml:space="preserve"> Polski w AIB, obok kwestii czysto formalnych – ograniczających możliwość wymiany gwarancji pochodzenia w ujęciu międzynarodowym, dla niektórych potencjalnych inwestorów zagranicznych może stanowić także </w:t>
            </w:r>
            <w:r>
              <w:rPr>
                <w:rFonts w:ascii="Times New Roman" w:hAnsi="Times New Roman"/>
                <w:bCs/>
                <w:color w:val="000000"/>
              </w:rPr>
              <w:t xml:space="preserve">czynnik decydujący o </w:t>
            </w:r>
            <w:r w:rsidRPr="002D7FC1">
              <w:rPr>
                <w:rFonts w:ascii="Times New Roman" w:hAnsi="Times New Roman"/>
                <w:bCs/>
                <w:color w:val="000000"/>
              </w:rPr>
              <w:t xml:space="preserve">atrakcyjności inwestycji w Polsce. Coraz więcej przedsiębiorstw, dbając o swój wizerunek, </w:t>
            </w:r>
            <w:r>
              <w:rPr>
                <w:rFonts w:ascii="Times New Roman" w:hAnsi="Times New Roman"/>
                <w:bCs/>
                <w:color w:val="000000"/>
              </w:rPr>
              <w:t>chce komunikować na zewnątrz</w:t>
            </w:r>
            <w:r w:rsidRPr="002D7FC1">
              <w:rPr>
                <w:rFonts w:ascii="Times New Roman" w:hAnsi="Times New Roman"/>
                <w:bCs/>
                <w:color w:val="000000"/>
              </w:rPr>
              <w:t xml:space="preserve">, że energia wykorzystywana w tym przedsiębiorstwie pochodzi ze źródeł odnawialnych. </w:t>
            </w:r>
            <w:r>
              <w:rPr>
                <w:rFonts w:ascii="Times New Roman" w:hAnsi="Times New Roman"/>
                <w:bCs/>
                <w:color w:val="000000"/>
              </w:rPr>
              <w:t>Środkiem niezbędnym do zapewnienia międzynarodowej uznawalności gwarancji pochodzenia jest przystąpienie do AIB.</w:t>
            </w:r>
          </w:p>
          <w:p w14:paraId="2DCF939B" w14:textId="0F5E79A7" w:rsidR="00B11150"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lastRenderedPageBreak/>
              <w:t xml:space="preserve">Członkostwo w AIB pociąga za sobą konieczność poniesienia kosztów administracyjnych. Koszty te są proporcjonalne do wolumenu wymiany międzynarodowej gwarancji z danego kraju i mogą wynieść od 5 </w:t>
            </w:r>
            <w:r>
              <w:rPr>
                <w:rFonts w:ascii="Times New Roman" w:hAnsi="Times New Roman"/>
                <w:bCs/>
                <w:color w:val="000000"/>
              </w:rPr>
              <w:t>5</w:t>
            </w:r>
            <w:r w:rsidRPr="002D7FC1">
              <w:rPr>
                <w:rFonts w:ascii="Times New Roman" w:hAnsi="Times New Roman"/>
                <w:bCs/>
                <w:color w:val="000000"/>
              </w:rPr>
              <w:t>00 EUR (&lt;</w:t>
            </w:r>
            <w:r>
              <w:rPr>
                <w:rFonts w:ascii="Times New Roman" w:hAnsi="Times New Roman"/>
                <w:bCs/>
                <w:color w:val="000000"/>
              </w:rPr>
              <w:t xml:space="preserve">4 </w:t>
            </w:r>
            <w:proofErr w:type="spellStart"/>
            <w:r w:rsidRPr="002D7FC1">
              <w:rPr>
                <w:rFonts w:ascii="Times New Roman" w:hAnsi="Times New Roman"/>
                <w:bCs/>
                <w:color w:val="000000"/>
              </w:rPr>
              <w:t>TWh</w:t>
            </w:r>
            <w:proofErr w:type="spellEnd"/>
            <w:r w:rsidRPr="002D7FC1">
              <w:rPr>
                <w:rFonts w:ascii="Times New Roman" w:hAnsi="Times New Roman"/>
                <w:bCs/>
                <w:color w:val="000000"/>
              </w:rPr>
              <w:t xml:space="preserve">) do </w:t>
            </w:r>
            <w:r>
              <w:rPr>
                <w:rFonts w:ascii="Times New Roman" w:hAnsi="Times New Roman"/>
                <w:bCs/>
                <w:color w:val="000000"/>
              </w:rPr>
              <w:t>71</w:t>
            </w:r>
            <w:r w:rsidRPr="002D7FC1">
              <w:rPr>
                <w:rFonts w:ascii="Times New Roman" w:hAnsi="Times New Roman"/>
                <w:bCs/>
                <w:color w:val="000000"/>
              </w:rPr>
              <w:t xml:space="preserve"> 000 EUR (&gt; </w:t>
            </w:r>
            <w:r>
              <w:rPr>
                <w:rFonts w:ascii="Times New Roman" w:hAnsi="Times New Roman"/>
                <w:bCs/>
                <w:color w:val="000000"/>
              </w:rPr>
              <w:t>8</w:t>
            </w:r>
            <w:r w:rsidRPr="002D7FC1">
              <w:rPr>
                <w:rFonts w:ascii="Times New Roman" w:hAnsi="Times New Roman"/>
                <w:bCs/>
                <w:color w:val="000000"/>
              </w:rPr>
              <w:t xml:space="preserve"> </w:t>
            </w:r>
            <w:proofErr w:type="spellStart"/>
            <w:r w:rsidRPr="002D7FC1">
              <w:rPr>
                <w:rFonts w:ascii="Times New Roman" w:hAnsi="Times New Roman"/>
                <w:bCs/>
                <w:color w:val="000000"/>
              </w:rPr>
              <w:t>TWh</w:t>
            </w:r>
            <w:proofErr w:type="spellEnd"/>
            <w:r w:rsidRPr="002D7FC1">
              <w:rPr>
                <w:rFonts w:ascii="Times New Roman" w:hAnsi="Times New Roman"/>
                <w:bCs/>
                <w:color w:val="000000"/>
              </w:rPr>
              <w:t xml:space="preserve">) rocznie. Z uwagi na wolumen obrotu na </w:t>
            </w:r>
            <w:r w:rsidR="00E75C92">
              <w:rPr>
                <w:rFonts w:ascii="Times New Roman" w:hAnsi="Times New Roman"/>
                <w:bCs/>
                <w:color w:val="000000"/>
              </w:rPr>
              <w:t>TGE</w:t>
            </w:r>
            <w:r w:rsidRPr="002D7FC1">
              <w:rPr>
                <w:rFonts w:ascii="Times New Roman" w:hAnsi="Times New Roman"/>
                <w:bCs/>
                <w:color w:val="000000"/>
              </w:rPr>
              <w:t xml:space="preserve"> przekraczający 10 </w:t>
            </w:r>
            <w:proofErr w:type="spellStart"/>
            <w:r w:rsidRPr="002D7FC1">
              <w:rPr>
                <w:rFonts w:ascii="Times New Roman" w:hAnsi="Times New Roman"/>
                <w:bCs/>
                <w:color w:val="000000"/>
              </w:rPr>
              <w:t>TWh</w:t>
            </w:r>
            <w:proofErr w:type="spellEnd"/>
            <w:r w:rsidRPr="002D7FC1">
              <w:rPr>
                <w:rFonts w:ascii="Times New Roman" w:hAnsi="Times New Roman"/>
                <w:bCs/>
                <w:color w:val="000000"/>
              </w:rPr>
              <w:t>, składka byłaby wyższą z podanych powyżej wartości.</w:t>
            </w:r>
          </w:p>
          <w:p w14:paraId="21B9DEED" w14:textId="77777777" w:rsidR="00665118" w:rsidRPr="002D7FC1"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Proponuje się, aby pokrycie kosztów uczestnictwa w AIB odbywało się</w:t>
            </w:r>
            <w:r>
              <w:rPr>
                <w:rFonts w:ascii="Times New Roman" w:hAnsi="Times New Roman"/>
                <w:bCs/>
                <w:color w:val="000000"/>
              </w:rPr>
              <w:t xml:space="preserve"> ze środków podmiotu prowadzącego rejestr gwarancji pochodzenia, w szczególności z wpływów pochodzących od uczestników wymiany gwarancji pochodzenia. </w:t>
            </w:r>
          </w:p>
          <w:p w14:paraId="72A9F074" w14:textId="77777777" w:rsidR="00665118"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Uczestnictwo Polski w AIB wygeneruje korzyści związane z zagospodarowaniem dodatkowego popytu na gwarancje pochodzenia, co spowoduje osiągnięcie wyższych przychodów z ich sprzedaży przez polskich wytwórców. Tym samym, w szczególności dla wytwórców lub części energii nie objętej operacyjnym systemem wsparcia, byłaby to szansa na zwiększenie wynagrodzenia z rynku za korzystanie z technologii OZE. </w:t>
            </w:r>
            <w:r>
              <w:rPr>
                <w:rFonts w:ascii="Times New Roman" w:hAnsi="Times New Roman"/>
                <w:bCs/>
                <w:color w:val="000000"/>
              </w:rPr>
              <w:t xml:space="preserve">W konsekwencji także, podniesie to atrakcyjność powstawania instalacji OZE i korzystania z mechanizmów rynkowych, zarówno co do ceny energii elektrycznej jak i możliwości uzyskania dodatkowych przychodów w postaci gwarancji pochodzenia dla tych instalacji OZE lub tej części energii pochodzącej z instalacji OZE, które pozostają poza systemem wsparcia. </w:t>
            </w:r>
          </w:p>
          <w:p w14:paraId="366DB510" w14:textId="0E6A28F1" w:rsidR="00B11150" w:rsidRDefault="00B11150" w:rsidP="00665118">
            <w:pPr>
              <w:spacing w:after="120" w:line="240" w:lineRule="auto"/>
              <w:jc w:val="both"/>
              <w:rPr>
                <w:rFonts w:ascii="Times New Roman" w:hAnsi="Times New Roman"/>
                <w:bCs/>
                <w:color w:val="000000"/>
              </w:rPr>
            </w:pPr>
            <w:r>
              <w:rPr>
                <w:rFonts w:ascii="Times New Roman" w:hAnsi="Times New Roman"/>
                <w:bCs/>
                <w:color w:val="000000"/>
              </w:rPr>
              <w:t xml:space="preserve">Jednym z podstawowych wymogów uczestnictwa Polski w AIB jest </w:t>
            </w:r>
            <w:r w:rsidRPr="00B11150">
              <w:rPr>
                <w:rFonts w:ascii="Times New Roman" w:hAnsi="Times New Roman"/>
                <w:bCs/>
                <w:color w:val="000000"/>
              </w:rPr>
              <w:t>obliczani</w:t>
            </w:r>
            <w:r>
              <w:rPr>
                <w:rFonts w:ascii="Times New Roman" w:hAnsi="Times New Roman"/>
                <w:bCs/>
                <w:color w:val="000000"/>
              </w:rPr>
              <w:t>e</w:t>
            </w:r>
            <w:r w:rsidRPr="00B11150">
              <w:rPr>
                <w:rFonts w:ascii="Times New Roman" w:hAnsi="Times New Roman"/>
                <w:bCs/>
                <w:color w:val="000000"/>
              </w:rPr>
              <w:t xml:space="preserve"> i publik</w:t>
            </w:r>
            <w:r>
              <w:rPr>
                <w:rFonts w:ascii="Times New Roman" w:hAnsi="Times New Roman"/>
                <w:bCs/>
                <w:color w:val="000000"/>
              </w:rPr>
              <w:t>owanie</w:t>
            </w:r>
            <w:r w:rsidRPr="00B11150">
              <w:rPr>
                <w:rFonts w:ascii="Times New Roman" w:hAnsi="Times New Roman"/>
                <w:bCs/>
                <w:color w:val="000000"/>
              </w:rPr>
              <w:t xml:space="preserve"> rocznego </w:t>
            </w:r>
            <w:proofErr w:type="spellStart"/>
            <w:r w:rsidRPr="00B11150">
              <w:rPr>
                <w:rFonts w:ascii="Times New Roman" w:hAnsi="Times New Roman"/>
                <w:bCs/>
                <w:color w:val="000000"/>
              </w:rPr>
              <w:t>miksu</w:t>
            </w:r>
            <w:proofErr w:type="spellEnd"/>
            <w:r w:rsidRPr="00B11150">
              <w:rPr>
                <w:rFonts w:ascii="Times New Roman" w:hAnsi="Times New Roman"/>
                <w:bCs/>
                <w:color w:val="000000"/>
              </w:rPr>
              <w:t xml:space="preserve"> resztkowego, rozumianego, jako całkowity roczny </w:t>
            </w:r>
            <w:proofErr w:type="spellStart"/>
            <w:r w:rsidRPr="00B11150">
              <w:rPr>
                <w:rFonts w:ascii="Times New Roman" w:hAnsi="Times New Roman"/>
                <w:bCs/>
                <w:color w:val="000000"/>
              </w:rPr>
              <w:t>miks</w:t>
            </w:r>
            <w:proofErr w:type="spellEnd"/>
            <w:r w:rsidRPr="00B11150">
              <w:rPr>
                <w:rFonts w:ascii="Times New Roman" w:hAnsi="Times New Roman"/>
                <w:bCs/>
                <w:color w:val="000000"/>
              </w:rPr>
              <w:t xml:space="preserve"> energetyczny danego państwa członkowskiego z wyłączeniem części objętej umo</w:t>
            </w:r>
            <w:r>
              <w:rPr>
                <w:rFonts w:ascii="Times New Roman" w:hAnsi="Times New Roman"/>
                <w:bCs/>
                <w:color w:val="000000"/>
              </w:rPr>
              <w:t>rzonymi gwarancjami pochodzenia</w:t>
            </w:r>
            <w:r w:rsidRPr="00B11150">
              <w:rPr>
                <w:rFonts w:ascii="Times New Roman" w:hAnsi="Times New Roman"/>
                <w:bCs/>
                <w:color w:val="000000"/>
              </w:rPr>
              <w:t xml:space="preserve">. Bilans sporządzany jest do dnia 30 czerwca roku następującego po roku, którego dotyczy </w:t>
            </w:r>
            <w:proofErr w:type="spellStart"/>
            <w:r w:rsidRPr="00B11150">
              <w:rPr>
                <w:rFonts w:ascii="Times New Roman" w:hAnsi="Times New Roman"/>
                <w:bCs/>
                <w:color w:val="000000"/>
              </w:rPr>
              <w:t>miks</w:t>
            </w:r>
            <w:proofErr w:type="spellEnd"/>
            <w:r w:rsidRPr="00B11150">
              <w:rPr>
                <w:rFonts w:ascii="Times New Roman" w:hAnsi="Times New Roman"/>
                <w:bCs/>
                <w:color w:val="000000"/>
              </w:rPr>
              <w:t xml:space="preserve"> resztkowy. Z kolei do dnia 30 kwietnia określone podmioty</w:t>
            </w:r>
            <w:r>
              <w:rPr>
                <w:rFonts w:ascii="Times New Roman" w:hAnsi="Times New Roman"/>
                <w:bCs/>
                <w:color w:val="000000"/>
              </w:rPr>
              <w:t xml:space="preserve"> (Prezes URE, PSE)</w:t>
            </w:r>
            <w:r w:rsidRPr="00B11150">
              <w:rPr>
                <w:rFonts w:ascii="Times New Roman" w:hAnsi="Times New Roman"/>
                <w:bCs/>
                <w:color w:val="000000"/>
              </w:rPr>
              <w:t>, które są w posiadaniu danych o wytworzonej i wprowadzonej do sieci (lub wprowadzonej w inne miejsce niż sieć) energii elektrycznej, przekazują te dane wraz z ilością energii elektrycznej (wyrażoną w MWh) importowanej i eksportowanej netto w związku z przepływami rzeczywistymi poszczególnych krajów.</w:t>
            </w:r>
          </w:p>
          <w:p w14:paraId="7C7A817B" w14:textId="77777777" w:rsidR="00665118" w:rsidRPr="002D7FC1" w:rsidRDefault="00665118" w:rsidP="00665118">
            <w:pPr>
              <w:spacing w:line="240" w:lineRule="auto"/>
              <w:jc w:val="both"/>
              <w:rPr>
                <w:rFonts w:ascii="Times New Roman" w:hAnsi="Times New Roman"/>
                <w:bCs/>
                <w:color w:val="000000"/>
              </w:rPr>
            </w:pPr>
            <w:r w:rsidRPr="002D7FC1">
              <w:rPr>
                <w:rFonts w:ascii="Times New Roman" w:hAnsi="Times New Roman"/>
                <w:bCs/>
                <w:color w:val="000000"/>
              </w:rPr>
              <w:t>Ad. 2.</w:t>
            </w:r>
          </w:p>
          <w:p w14:paraId="02C648E5" w14:textId="705C6E96" w:rsidR="00665118" w:rsidRDefault="00665118" w:rsidP="00665118">
            <w:pPr>
              <w:spacing w:after="120" w:line="240" w:lineRule="auto"/>
              <w:jc w:val="both"/>
              <w:rPr>
                <w:rFonts w:ascii="Times New Roman" w:hAnsi="Times New Roman"/>
                <w:bCs/>
                <w:color w:val="000000"/>
              </w:rPr>
            </w:pPr>
            <w:r w:rsidRPr="002D7FC1">
              <w:rPr>
                <w:rFonts w:ascii="Times New Roman" w:hAnsi="Times New Roman"/>
                <w:bCs/>
                <w:color w:val="000000"/>
              </w:rPr>
              <w:t xml:space="preserve">Dyrektywa </w:t>
            </w:r>
            <w:r w:rsidR="00064CC9">
              <w:rPr>
                <w:rFonts w:ascii="Times New Roman" w:hAnsi="Times New Roman"/>
                <w:bCs/>
                <w:color w:val="000000"/>
              </w:rPr>
              <w:t>RED II</w:t>
            </w:r>
            <w:r w:rsidRPr="002D7FC1">
              <w:rPr>
                <w:rFonts w:ascii="Times New Roman" w:hAnsi="Times New Roman"/>
                <w:bCs/>
                <w:color w:val="000000"/>
              </w:rPr>
              <w:t xml:space="preserve"> w art. 19 st. 2 przewiduje, że „</w:t>
            </w:r>
            <w:r w:rsidRPr="002D7FC1">
              <w:rPr>
                <w:rFonts w:ascii="Times New Roman" w:hAnsi="Times New Roman"/>
                <w:bCs/>
                <w:i/>
                <w:iCs/>
                <w:color w:val="000000"/>
              </w:rPr>
              <w:t>Państwa członkowskie zapewniają, aby w przypadku gdy producent otrzymuje wsparcie finansowe z systemu wsparcia, wartość rynkowa gwarancji pochodzenia dla tej samej produkcji była należycie uwzględniana w danym systemie wsparcia.</w:t>
            </w:r>
            <w:r w:rsidRPr="002D7FC1">
              <w:rPr>
                <w:rFonts w:ascii="Times New Roman" w:hAnsi="Times New Roman"/>
                <w:bCs/>
                <w:color w:val="000000"/>
              </w:rPr>
              <w:t>”</w:t>
            </w:r>
            <w:r>
              <w:rPr>
                <w:rFonts w:ascii="Times New Roman" w:hAnsi="Times New Roman"/>
                <w:bCs/>
                <w:color w:val="000000"/>
              </w:rPr>
              <w:t>.</w:t>
            </w:r>
          </w:p>
          <w:p w14:paraId="0BE71A63" w14:textId="6A646194"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Ewentualne przychody uzyskane z tytułu obrotu gwarancji pochodzenia, dla instalacji lub części energii objętej wsparciem, nie powinny przewyższać dopuszczalnego poziomu wsparcia</w:t>
            </w:r>
            <w:r w:rsidR="00143C43">
              <w:rPr>
                <w:rFonts w:ascii="Times New Roman" w:hAnsi="Times New Roman"/>
                <w:bCs/>
                <w:color w:val="000000"/>
              </w:rPr>
              <w:t>.</w:t>
            </w:r>
            <w:r>
              <w:rPr>
                <w:rFonts w:ascii="Times New Roman" w:hAnsi="Times New Roman"/>
                <w:bCs/>
                <w:color w:val="000000"/>
              </w:rPr>
              <w:t xml:space="preserve"> Wobec </w:t>
            </w:r>
            <w:r w:rsidR="00143C43">
              <w:rPr>
                <w:rFonts w:ascii="Times New Roman" w:hAnsi="Times New Roman"/>
                <w:bCs/>
                <w:color w:val="000000"/>
              </w:rPr>
              <w:t xml:space="preserve">tego </w:t>
            </w:r>
            <w:r>
              <w:rPr>
                <w:rFonts w:ascii="Times New Roman" w:hAnsi="Times New Roman"/>
                <w:bCs/>
                <w:color w:val="000000"/>
              </w:rPr>
              <w:t xml:space="preserve">proponuje się, aby systemy oparte o stałą cenę, lub stałą dopłatę do ceny rynkowej były wyłączone spod możliwości otrzymywania pomocy. Dzięki takiemu rozwiązaniu zmitygowane zostanie ryzyko </w:t>
            </w:r>
            <w:proofErr w:type="spellStart"/>
            <w:r>
              <w:rPr>
                <w:rFonts w:ascii="Times New Roman" w:hAnsi="Times New Roman"/>
                <w:bCs/>
                <w:color w:val="000000"/>
              </w:rPr>
              <w:t>nadwsparcia</w:t>
            </w:r>
            <w:proofErr w:type="spellEnd"/>
            <w:r>
              <w:rPr>
                <w:rFonts w:ascii="Times New Roman" w:hAnsi="Times New Roman"/>
                <w:bCs/>
                <w:color w:val="000000"/>
              </w:rPr>
              <w:t xml:space="preserve"> w takich systemach jak obowiązujący </w:t>
            </w:r>
            <w:r w:rsidR="00734CC0">
              <w:rPr>
                <w:rFonts w:ascii="Times New Roman" w:hAnsi="Times New Roman"/>
                <w:bCs/>
                <w:color w:val="000000"/>
              </w:rPr>
              <w:t>system taryf gwarantowanych (</w:t>
            </w:r>
            <w:proofErr w:type="spellStart"/>
            <w:r w:rsidR="00734CC0">
              <w:rPr>
                <w:rFonts w:ascii="Times New Roman" w:hAnsi="Times New Roman"/>
                <w:bCs/>
                <w:color w:val="000000"/>
              </w:rPr>
              <w:t>feed</w:t>
            </w:r>
            <w:proofErr w:type="spellEnd"/>
            <w:r w:rsidR="00734CC0">
              <w:rPr>
                <w:rFonts w:ascii="Times New Roman" w:hAnsi="Times New Roman"/>
                <w:bCs/>
                <w:color w:val="000000"/>
              </w:rPr>
              <w:t>-in-</w:t>
            </w:r>
            <w:proofErr w:type="spellStart"/>
            <w:r w:rsidR="00734CC0">
              <w:rPr>
                <w:rFonts w:ascii="Times New Roman" w:hAnsi="Times New Roman"/>
                <w:bCs/>
                <w:color w:val="000000"/>
              </w:rPr>
              <w:t>tariff</w:t>
            </w:r>
            <w:proofErr w:type="spellEnd"/>
            <w:r w:rsidR="00734CC0">
              <w:rPr>
                <w:rFonts w:ascii="Times New Roman" w:hAnsi="Times New Roman"/>
                <w:bCs/>
                <w:color w:val="000000"/>
              </w:rPr>
              <w:t xml:space="preserve"> - </w:t>
            </w:r>
            <w:proofErr w:type="spellStart"/>
            <w:r w:rsidR="00734CC0">
              <w:rPr>
                <w:rFonts w:ascii="Times New Roman" w:hAnsi="Times New Roman"/>
                <w:bCs/>
                <w:color w:val="000000"/>
              </w:rPr>
              <w:t>FiT</w:t>
            </w:r>
            <w:proofErr w:type="spellEnd"/>
            <w:r w:rsidR="00734CC0">
              <w:rPr>
                <w:rFonts w:ascii="Times New Roman" w:hAnsi="Times New Roman"/>
                <w:bCs/>
                <w:color w:val="000000"/>
              </w:rPr>
              <w:t xml:space="preserve">) </w:t>
            </w:r>
            <w:r>
              <w:rPr>
                <w:rFonts w:ascii="Times New Roman" w:hAnsi="Times New Roman"/>
                <w:bCs/>
                <w:color w:val="000000"/>
              </w:rPr>
              <w:t xml:space="preserve">i </w:t>
            </w:r>
            <w:r w:rsidR="00734CC0">
              <w:rPr>
                <w:rFonts w:ascii="Times New Roman" w:hAnsi="Times New Roman"/>
                <w:bCs/>
                <w:color w:val="000000"/>
              </w:rPr>
              <w:t>premii gwarantowanej (</w:t>
            </w:r>
            <w:proofErr w:type="spellStart"/>
            <w:r w:rsidR="00734CC0">
              <w:rPr>
                <w:rFonts w:ascii="Times New Roman" w:hAnsi="Times New Roman"/>
                <w:bCs/>
                <w:color w:val="000000"/>
              </w:rPr>
              <w:t>feed</w:t>
            </w:r>
            <w:proofErr w:type="spellEnd"/>
            <w:r w:rsidR="00734CC0">
              <w:rPr>
                <w:rFonts w:ascii="Times New Roman" w:hAnsi="Times New Roman"/>
                <w:bCs/>
                <w:color w:val="000000"/>
              </w:rPr>
              <w:t>-in-</w:t>
            </w:r>
            <w:proofErr w:type="spellStart"/>
            <w:r w:rsidR="00734CC0">
              <w:rPr>
                <w:rFonts w:ascii="Times New Roman" w:hAnsi="Times New Roman"/>
                <w:bCs/>
                <w:color w:val="000000"/>
              </w:rPr>
              <w:t>premium</w:t>
            </w:r>
            <w:proofErr w:type="spellEnd"/>
            <w:r w:rsidR="00734CC0">
              <w:rPr>
                <w:rFonts w:ascii="Times New Roman" w:hAnsi="Times New Roman"/>
                <w:bCs/>
                <w:color w:val="000000"/>
              </w:rPr>
              <w:t xml:space="preserve"> – </w:t>
            </w:r>
            <w:proofErr w:type="spellStart"/>
            <w:r>
              <w:rPr>
                <w:rFonts w:ascii="Times New Roman" w:hAnsi="Times New Roman"/>
                <w:bCs/>
                <w:color w:val="000000"/>
              </w:rPr>
              <w:t>F</w:t>
            </w:r>
            <w:r w:rsidR="00734CC0">
              <w:rPr>
                <w:rFonts w:ascii="Times New Roman" w:hAnsi="Times New Roman"/>
                <w:bCs/>
                <w:color w:val="000000"/>
              </w:rPr>
              <w:t>i</w:t>
            </w:r>
            <w:r>
              <w:rPr>
                <w:rFonts w:ascii="Times New Roman" w:hAnsi="Times New Roman"/>
                <w:bCs/>
                <w:color w:val="000000"/>
              </w:rPr>
              <w:t>P</w:t>
            </w:r>
            <w:proofErr w:type="spellEnd"/>
            <w:r w:rsidR="00734CC0">
              <w:rPr>
                <w:rFonts w:ascii="Times New Roman" w:hAnsi="Times New Roman"/>
                <w:bCs/>
                <w:color w:val="000000"/>
              </w:rPr>
              <w:t>)</w:t>
            </w:r>
            <w:r>
              <w:rPr>
                <w:rFonts w:ascii="Times New Roman" w:hAnsi="Times New Roman"/>
                <w:bCs/>
                <w:color w:val="000000"/>
              </w:rPr>
              <w:t xml:space="preserve">. Przyznanie gwarancji pochodzenia jednocześnie powinno wprowadzić pozytywny bodziec rynkowy dla energii ze źródeł OZE, nieobjętej systemem wsparcia. </w:t>
            </w:r>
          </w:p>
          <w:p w14:paraId="3BEC0D5A" w14:textId="440591B7"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Rozwiązanie alternatywne, tj. odejmowan</w:t>
            </w:r>
            <w:r w:rsidR="00143C43">
              <w:rPr>
                <w:rFonts w:ascii="Times New Roman" w:hAnsi="Times New Roman"/>
                <w:bCs/>
                <w:color w:val="000000"/>
              </w:rPr>
              <w:t>i</w:t>
            </w:r>
            <w:r>
              <w:rPr>
                <w:rFonts w:ascii="Times New Roman" w:hAnsi="Times New Roman"/>
                <w:bCs/>
                <w:color w:val="000000"/>
              </w:rPr>
              <w:t xml:space="preserve">e ceny gwarancji pochodzenia od uzyskanego wsparcia, oprócz braku bodźca ekonomicznego do korzystania z systemu gwarancji pochodzenia, pociągałoby za sobą dodatkowe obciążenie administracyjne związane z tym procesem. </w:t>
            </w:r>
          </w:p>
          <w:p w14:paraId="69C907CE"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 xml:space="preserve">Ad. 3 </w:t>
            </w:r>
          </w:p>
          <w:p w14:paraId="603D5DC0" w14:textId="3C2E0057" w:rsidR="00665118" w:rsidRPr="006023C6"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Należy odnotować, że zgodnie z art. 19 ust. 6 </w:t>
            </w:r>
            <w:r w:rsidR="00E75C92">
              <w:rPr>
                <w:rFonts w:ascii="Times New Roman" w:hAnsi="Times New Roman"/>
                <w:bCs/>
                <w:color w:val="000000"/>
              </w:rPr>
              <w:t>d</w:t>
            </w:r>
            <w:r w:rsidRPr="006023C6">
              <w:rPr>
                <w:rFonts w:ascii="Times New Roman" w:hAnsi="Times New Roman"/>
                <w:bCs/>
                <w:color w:val="000000"/>
              </w:rPr>
              <w:t xml:space="preserve">yrektywy, </w:t>
            </w:r>
            <w:r>
              <w:rPr>
                <w:rFonts w:ascii="Times New Roman" w:hAnsi="Times New Roman"/>
                <w:bCs/>
                <w:color w:val="000000"/>
              </w:rPr>
              <w:t>„</w:t>
            </w:r>
            <w:r w:rsidRPr="006023C6">
              <w:rPr>
                <w:rFonts w:ascii="Times New Roman" w:hAnsi="Times New Roman"/>
                <w:bCs/>
                <w:color w:val="000000"/>
              </w:rPr>
              <w:t xml:space="preserve">(…) </w:t>
            </w:r>
            <w:r w:rsidRPr="000D3F79">
              <w:rPr>
                <w:rFonts w:ascii="Times New Roman" w:hAnsi="Times New Roman"/>
                <w:bCs/>
                <w:i/>
                <w:iCs/>
                <w:color w:val="000000"/>
              </w:rPr>
              <w:t>Państwa członkowskie i wyznaczone właściwe organy zapewniają, aby wymogi, które nakładają, były zgodne z normą CEN – EN 16325</w:t>
            </w:r>
            <w:r>
              <w:rPr>
                <w:rFonts w:ascii="Times New Roman" w:hAnsi="Times New Roman"/>
                <w:bCs/>
                <w:i/>
                <w:iCs/>
                <w:color w:val="000000"/>
              </w:rPr>
              <w:t>”</w:t>
            </w:r>
            <w:r w:rsidRPr="006023C6">
              <w:rPr>
                <w:rFonts w:ascii="Times New Roman" w:hAnsi="Times New Roman"/>
                <w:bCs/>
                <w:color w:val="000000"/>
              </w:rPr>
              <w:t>.</w:t>
            </w:r>
          </w:p>
          <w:p w14:paraId="2D426884" w14:textId="4BCFD848" w:rsidR="00665118" w:rsidRPr="006023C6"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Co istotne, norma w związku ze wskazanym powyżej </w:t>
            </w:r>
            <w:r>
              <w:rPr>
                <w:rFonts w:ascii="Times New Roman" w:hAnsi="Times New Roman"/>
                <w:bCs/>
                <w:color w:val="000000"/>
              </w:rPr>
              <w:t>przepisem</w:t>
            </w:r>
            <w:r w:rsidRPr="006023C6">
              <w:rPr>
                <w:rFonts w:ascii="Times New Roman" w:hAnsi="Times New Roman"/>
                <w:bCs/>
                <w:color w:val="000000"/>
              </w:rPr>
              <w:t xml:space="preserve"> </w:t>
            </w:r>
            <w:r w:rsidR="00E75C92">
              <w:rPr>
                <w:rFonts w:ascii="Times New Roman" w:hAnsi="Times New Roman"/>
                <w:bCs/>
                <w:color w:val="000000"/>
              </w:rPr>
              <w:t>d</w:t>
            </w:r>
            <w:r w:rsidRPr="006023C6">
              <w:rPr>
                <w:rFonts w:ascii="Times New Roman" w:hAnsi="Times New Roman"/>
                <w:bCs/>
                <w:color w:val="000000"/>
              </w:rPr>
              <w:t xml:space="preserve">yrektywy, będzie określała ustandaryzowane ramy funkcjonowania systemów gwarancji pochodzenia, z uwzględnieniem nowych nośników energii, czyli gazu z </w:t>
            </w:r>
            <w:r>
              <w:rPr>
                <w:rFonts w:ascii="Times New Roman" w:hAnsi="Times New Roman"/>
                <w:bCs/>
                <w:color w:val="000000"/>
              </w:rPr>
              <w:t>OZE</w:t>
            </w:r>
            <w:r w:rsidRPr="006023C6">
              <w:rPr>
                <w:rFonts w:ascii="Times New Roman" w:hAnsi="Times New Roman"/>
                <w:bCs/>
                <w:color w:val="000000"/>
              </w:rPr>
              <w:t xml:space="preserve"> oraz energii ciepła i chłodu.</w:t>
            </w:r>
          </w:p>
          <w:p w14:paraId="67B05AA8" w14:textId="77777777" w:rsidR="00665118" w:rsidRDefault="00665118" w:rsidP="00665118">
            <w:pPr>
              <w:spacing w:after="120" w:line="240" w:lineRule="auto"/>
              <w:jc w:val="both"/>
              <w:rPr>
                <w:rFonts w:ascii="Times New Roman" w:hAnsi="Times New Roman"/>
                <w:bCs/>
                <w:color w:val="000000"/>
              </w:rPr>
            </w:pPr>
            <w:r w:rsidRPr="006023C6">
              <w:rPr>
                <w:rFonts w:ascii="Times New Roman" w:hAnsi="Times New Roman"/>
                <w:bCs/>
                <w:color w:val="000000"/>
              </w:rPr>
              <w:t xml:space="preserve">Norma dostarczy szczegółowych, technicznych rozwiązań w zakresie funkcjonowania nowych lub rozszerzonych rejestrów gwarancji pochodzenia specyficznych dla dokonywanego rozszerzenia systemu gwarancji pochodzenia. </w:t>
            </w:r>
          </w:p>
          <w:p w14:paraId="7392BC8A"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Ad.4</w:t>
            </w:r>
          </w:p>
          <w:p w14:paraId="5F57EE58" w14:textId="7FA9115A" w:rsidR="00665118" w:rsidRDefault="00665118" w:rsidP="00665118">
            <w:pPr>
              <w:spacing w:after="120" w:line="240" w:lineRule="auto"/>
              <w:jc w:val="both"/>
              <w:rPr>
                <w:rFonts w:ascii="Times New Roman" w:hAnsi="Times New Roman"/>
                <w:bCs/>
                <w:color w:val="000000"/>
              </w:rPr>
            </w:pPr>
            <w:r>
              <w:rPr>
                <w:rFonts w:ascii="Times New Roman" w:hAnsi="Times New Roman"/>
                <w:bCs/>
                <w:color w:val="000000"/>
              </w:rPr>
              <w:t>RED II zmienia zakres dotąd wydawanych gwarancji pochodzenie i powoduje u</w:t>
            </w:r>
            <w:r w:rsidRPr="00080D60">
              <w:rPr>
                <w:rFonts w:ascii="Times New Roman" w:hAnsi="Times New Roman"/>
                <w:bCs/>
                <w:color w:val="000000"/>
              </w:rPr>
              <w:t xml:space="preserve">względnienie w krajowym porządku prawnym </w:t>
            </w:r>
            <w:r>
              <w:rPr>
                <w:rFonts w:ascii="Times New Roman" w:hAnsi="Times New Roman"/>
                <w:bCs/>
                <w:color w:val="000000"/>
              </w:rPr>
              <w:t xml:space="preserve">nowych </w:t>
            </w:r>
            <w:r w:rsidRPr="00080D60">
              <w:rPr>
                <w:rFonts w:ascii="Times New Roman" w:hAnsi="Times New Roman"/>
                <w:bCs/>
                <w:color w:val="000000"/>
              </w:rPr>
              <w:t>rodzajów paliw, dla których mogą być wydawane gwarancje pochodzenia (gaz z odnawialnych źródeł energii [</w:t>
            </w:r>
            <w:proofErr w:type="spellStart"/>
            <w:r w:rsidRPr="00080D60">
              <w:rPr>
                <w:rFonts w:ascii="Times New Roman" w:hAnsi="Times New Roman"/>
                <w:bCs/>
                <w:color w:val="000000"/>
              </w:rPr>
              <w:t>biometan</w:t>
            </w:r>
            <w:proofErr w:type="spellEnd"/>
            <w:r w:rsidRPr="00080D60">
              <w:rPr>
                <w:rFonts w:ascii="Times New Roman" w:hAnsi="Times New Roman"/>
                <w:bCs/>
                <w:color w:val="000000"/>
              </w:rPr>
              <w:t>, wodór] oraz energia ciepła i chłodu).</w:t>
            </w:r>
            <w:r>
              <w:rPr>
                <w:rFonts w:ascii="Times New Roman" w:hAnsi="Times New Roman"/>
                <w:bCs/>
                <w:color w:val="000000"/>
              </w:rPr>
              <w:t xml:space="preserve"> Powoduje także w</w:t>
            </w:r>
            <w:r w:rsidRPr="00080D60">
              <w:rPr>
                <w:rFonts w:ascii="Times New Roman" w:hAnsi="Times New Roman"/>
                <w:bCs/>
                <w:color w:val="000000"/>
              </w:rPr>
              <w:t>prowadzenie specyficznych rozwiązań dla nowych nośników energii, dla których mogą być wydawane gwarancje pochodzenia, między innymi w zakresie zasad weryfikacji wprowadzania energii do sieci lub dostarczania za pośrednictwem innych nośników oraz zasad raportowania i ewentualnej odpowiedzialności z tego tytułu.</w:t>
            </w:r>
          </w:p>
          <w:p w14:paraId="4B5F9BAE" w14:textId="77777777" w:rsidR="00665118" w:rsidRDefault="00665118" w:rsidP="00665118">
            <w:pPr>
              <w:spacing w:line="240" w:lineRule="auto"/>
              <w:jc w:val="both"/>
              <w:rPr>
                <w:rFonts w:ascii="Times New Roman" w:hAnsi="Times New Roman"/>
                <w:bCs/>
                <w:color w:val="000000"/>
              </w:rPr>
            </w:pPr>
            <w:r>
              <w:rPr>
                <w:rFonts w:ascii="Times New Roman" w:hAnsi="Times New Roman"/>
                <w:bCs/>
                <w:color w:val="000000"/>
              </w:rPr>
              <w:t>Ad. 5</w:t>
            </w:r>
          </w:p>
          <w:p w14:paraId="4165FE13" w14:textId="250B6A1A" w:rsidR="00665118" w:rsidRDefault="00665118" w:rsidP="004B458B">
            <w:pPr>
              <w:spacing w:after="120" w:line="240" w:lineRule="auto"/>
              <w:jc w:val="both"/>
              <w:rPr>
                <w:rFonts w:ascii="Times New Roman" w:hAnsi="Times New Roman"/>
                <w:bCs/>
                <w:color w:val="000000"/>
              </w:rPr>
            </w:pPr>
            <w:r>
              <w:rPr>
                <w:rFonts w:ascii="Times New Roman" w:hAnsi="Times New Roman"/>
                <w:bCs/>
                <w:color w:val="000000"/>
              </w:rPr>
              <w:t xml:space="preserve">Konieczne jest dostosowanie rejestru gwarancji pochodzenia prowadzonego przez TGE do uwarunkowań </w:t>
            </w:r>
            <w:r w:rsidR="00064CC9">
              <w:rPr>
                <w:rFonts w:ascii="Times New Roman" w:hAnsi="Times New Roman"/>
                <w:bCs/>
                <w:color w:val="000000"/>
              </w:rPr>
              <w:t>RED II</w:t>
            </w:r>
            <w:r>
              <w:rPr>
                <w:rFonts w:ascii="Times New Roman" w:hAnsi="Times New Roman"/>
                <w:bCs/>
                <w:color w:val="000000"/>
              </w:rPr>
              <w:t>. G</w:t>
            </w:r>
            <w:r w:rsidRPr="001E21C6">
              <w:rPr>
                <w:rFonts w:ascii="Times New Roman" w:hAnsi="Times New Roman"/>
                <w:bCs/>
                <w:color w:val="000000"/>
              </w:rPr>
              <w:t>warancja pochodzenia może podlegać przeniesieniu na rzecz innego podmiotu w okresie dwunastu miesięcy od dnia zakończenia wytwarzania energii elektrycznej, objętej wnioskiem o jej wydanie, przy czym jej umorzenie może nastąpić także w okresie kolejnych sześciu miesięcy.</w:t>
            </w:r>
            <w:r>
              <w:rPr>
                <w:rFonts w:ascii="Times New Roman" w:hAnsi="Times New Roman"/>
                <w:bCs/>
                <w:color w:val="000000"/>
              </w:rPr>
              <w:t xml:space="preserve"> Konieczne jest u</w:t>
            </w:r>
            <w:r w:rsidRPr="001E21C6">
              <w:rPr>
                <w:rFonts w:ascii="Times New Roman" w:hAnsi="Times New Roman"/>
                <w:bCs/>
                <w:color w:val="000000"/>
              </w:rPr>
              <w:t>szczelnienie procesu przekazywania i zbierania danych dotyczących gwarancji pochodzenia wprowadzanych do obrotu na terytorium Rzeczypospolitej Polskiej oraz przenoszonych na rzecz innych podmiotów.</w:t>
            </w:r>
            <w:r>
              <w:rPr>
                <w:rFonts w:ascii="Times New Roman" w:hAnsi="Times New Roman"/>
                <w:bCs/>
                <w:color w:val="000000"/>
              </w:rPr>
              <w:t xml:space="preserve"> Innym elementem jest n</w:t>
            </w:r>
            <w:r w:rsidRPr="001E21C6">
              <w:rPr>
                <w:rFonts w:ascii="Times New Roman" w:hAnsi="Times New Roman"/>
                <w:bCs/>
                <w:color w:val="000000"/>
              </w:rPr>
              <w:t xml:space="preserve">ałożenie na podmiot prowadzący rejestr gwarancji </w:t>
            </w:r>
            <w:r w:rsidRPr="001E21C6">
              <w:rPr>
                <w:rFonts w:ascii="Times New Roman" w:hAnsi="Times New Roman"/>
                <w:bCs/>
                <w:color w:val="000000"/>
              </w:rPr>
              <w:lastRenderedPageBreak/>
              <w:t>pochodzenia obowiązku publikacji rocznych bilansów dotyczących gwarancji podlegających transferom transgranicznym i bilansów dotyczących umorzonych gwarancji pochodzenia</w:t>
            </w:r>
            <w:r>
              <w:rPr>
                <w:rFonts w:ascii="Times New Roman" w:hAnsi="Times New Roman"/>
                <w:bCs/>
                <w:color w:val="000000"/>
              </w:rPr>
              <w:t>.</w:t>
            </w:r>
          </w:p>
          <w:p w14:paraId="63A9EB4B" w14:textId="4DF490F9" w:rsidR="00072655" w:rsidRPr="000F496A" w:rsidRDefault="0040388B" w:rsidP="00665118">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III.3. </w:t>
            </w:r>
            <w:r w:rsidR="00072655" w:rsidRPr="000F496A">
              <w:rPr>
                <w:rFonts w:ascii="Times New Roman" w:hAnsi="Times New Roman"/>
                <w:b/>
                <w:bCs/>
                <w:color w:val="000000"/>
                <w:u w:val="single"/>
              </w:rPr>
              <w:t>Krajowy Punkt Kontaktowy</w:t>
            </w:r>
            <w:r w:rsidR="00655047">
              <w:rPr>
                <w:rFonts w:ascii="Times New Roman" w:hAnsi="Times New Roman"/>
                <w:b/>
                <w:bCs/>
                <w:color w:val="000000"/>
                <w:u w:val="single"/>
              </w:rPr>
              <w:t xml:space="preserve"> OZE</w:t>
            </w:r>
          </w:p>
          <w:p w14:paraId="5DFE9065" w14:textId="2346ACD3" w:rsidR="00101B3C" w:rsidRPr="00101B3C" w:rsidRDefault="00101B3C" w:rsidP="000D3F79">
            <w:pPr>
              <w:spacing w:after="120" w:line="240" w:lineRule="auto"/>
              <w:jc w:val="both"/>
              <w:rPr>
                <w:rFonts w:ascii="Times New Roman" w:hAnsi="Times New Roman"/>
                <w:color w:val="000000"/>
              </w:rPr>
            </w:pPr>
            <w:r w:rsidRPr="00101B3C">
              <w:rPr>
                <w:rFonts w:ascii="Times New Roman" w:hAnsi="Times New Roman"/>
                <w:color w:val="000000"/>
              </w:rPr>
              <w:t xml:space="preserve">Celem ustanowienia KPK </w:t>
            </w:r>
            <w:r w:rsidR="00655047">
              <w:rPr>
                <w:rFonts w:ascii="Times New Roman" w:hAnsi="Times New Roman"/>
                <w:color w:val="000000"/>
              </w:rPr>
              <w:t xml:space="preserve">OZE </w:t>
            </w:r>
            <w:r w:rsidRPr="00101B3C">
              <w:rPr>
                <w:rFonts w:ascii="Times New Roman" w:hAnsi="Times New Roman"/>
                <w:color w:val="000000"/>
              </w:rPr>
              <w:t>jest ułatwienie wszczęcia i prowadzenia postępowań dla wytwórców energii z OZE w zakresie wydawania pozwoleń i niektórych innych procedur administracyjnych oraz poprawa dostępu do porad związanych z prowadzonymi postępowaniami administracyjnymi</w:t>
            </w:r>
            <w:r w:rsidR="00EF0FD5">
              <w:rPr>
                <w:rFonts w:ascii="Times New Roman" w:hAnsi="Times New Roman"/>
                <w:color w:val="000000"/>
              </w:rPr>
              <w:t>.</w:t>
            </w:r>
          </w:p>
          <w:p w14:paraId="4CEACC1D" w14:textId="65C43E32" w:rsidR="00101B3C" w:rsidRPr="00101B3C" w:rsidRDefault="00072655" w:rsidP="000D3F79">
            <w:pPr>
              <w:spacing w:after="120" w:line="240" w:lineRule="auto"/>
              <w:jc w:val="both"/>
              <w:rPr>
                <w:rFonts w:ascii="Times New Roman" w:hAnsi="Times New Roman"/>
                <w:color w:val="000000"/>
              </w:rPr>
            </w:pPr>
            <w:r>
              <w:rPr>
                <w:rFonts w:ascii="Times New Roman" w:hAnsi="Times New Roman"/>
                <w:color w:val="000000"/>
              </w:rPr>
              <w:t>Proponuje się</w:t>
            </w:r>
            <w:r w:rsidR="00581F6F">
              <w:rPr>
                <w:rFonts w:ascii="Times New Roman" w:hAnsi="Times New Roman"/>
                <w:color w:val="000000"/>
              </w:rPr>
              <w:t>,</w:t>
            </w:r>
            <w:r>
              <w:rPr>
                <w:rFonts w:ascii="Times New Roman" w:hAnsi="Times New Roman"/>
                <w:color w:val="000000"/>
              </w:rPr>
              <w:t xml:space="preserve"> </w:t>
            </w:r>
            <w:r w:rsidR="00D90410">
              <w:rPr>
                <w:rFonts w:ascii="Times New Roman" w:hAnsi="Times New Roman"/>
                <w:color w:val="000000"/>
              </w:rPr>
              <w:t>a</w:t>
            </w:r>
            <w:r>
              <w:rPr>
                <w:rFonts w:ascii="Times New Roman" w:hAnsi="Times New Roman"/>
                <w:color w:val="000000"/>
              </w:rPr>
              <w:t>by r</w:t>
            </w:r>
            <w:r w:rsidR="00101B3C" w:rsidRPr="00101B3C">
              <w:rPr>
                <w:rFonts w:ascii="Times New Roman" w:hAnsi="Times New Roman"/>
                <w:color w:val="000000"/>
              </w:rPr>
              <w:t>egulacja dotycząca KPK</w:t>
            </w:r>
            <w:r w:rsidR="00655047">
              <w:rPr>
                <w:rFonts w:ascii="Times New Roman" w:hAnsi="Times New Roman"/>
                <w:color w:val="000000"/>
              </w:rPr>
              <w:t xml:space="preserve"> OZE</w:t>
            </w:r>
            <w:r w:rsidR="00101B3C" w:rsidRPr="00101B3C">
              <w:rPr>
                <w:rFonts w:ascii="Times New Roman" w:hAnsi="Times New Roman"/>
                <w:color w:val="000000"/>
              </w:rPr>
              <w:t xml:space="preserve"> została </w:t>
            </w:r>
            <w:r w:rsidR="00D90410">
              <w:rPr>
                <w:rFonts w:ascii="Times New Roman" w:hAnsi="Times New Roman"/>
                <w:color w:val="000000"/>
              </w:rPr>
              <w:t>umieszczona</w:t>
            </w:r>
            <w:r w:rsidR="00D90410" w:rsidRPr="00101B3C">
              <w:rPr>
                <w:rFonts w:ascii="Times New Roman" w:hAnsi="Times New Roman"/>
                <w:color w:val="000000"/>
              </w:rPr>
              <w:t xml:space="preserve"> </w:t>
            </w:r>
            <w:r w:rsidR="00101B3C" w:rsidRPr="00101B3C">
              <w:rPr>
                <w:rFonts w:ascii="Times New Roman" w:hAnsi="Times New Roman"/>
                <w:color w:val="000000"/>
              </w:rPr>
              <w:t>w ustawie</w:t>
            </w:r>
            <w:r w:rsidR="00D90410">
              <w:rPr>
                <w:rFonts w:ascii="Times New Roman" w:hAnsi="Times New Roman"/>
                <w:color w:val="000000"/>
              </w:rPr>
              <w:t xml:space="preserve"> OZE</w:t>
            </w:r>
            <w:r w:rsidR="00101B3C" w:rsidRPr="00101B3C">
              <w:rPr>
                <w:rFonts w:ascii="Times New Roman" w:hAnsi="Times New Roman"/>
                <w:color w:val="000000"/>
              </w:rPr>
              <w:t>.</w:t>
            </w:r>
          </w:p>
          <w:p w14:paraId="008D39DC" w14:textId="3AC12621" w:rsidR="00101B3C" w:rsidRPr="000435E7" w:rsidRDefault="00101B3C">
            <w:pPr>
              <w:spacing w:line="240" w:lineRule="auto"/>
              <w:jc w:val="both"/>
              <w:rPr>
                <w:rFonts w:ascii="Times New Roman" w:hAnsi="Times New Roman"/>
                <w:bCs/>
                <w:color w:val="000000"/>
                <w:u w:val="single"/>
              </w:rPr>
            </w:pPr>
            <w:r w:rsidRPr="000435E7">
              <w:rPr>
                <w:rFonts w:ascii="Times New Roman" w:hAnsi="Times New Roman"/>
                <w:bCs/>
                <w:color w:val="000000"/>
                <w:u w:val="single"/>
              </w:rPr>
              <w:t>Szczegółowe założenia planowanej ustawy w zakresie KPK</w:t>
            </w:r>
            <w:r w:rsidR="00655047">
              <w:rPr>
                <w:rFonts w:ascii="Times New Roman" w:hAnsi="Times New Roman"/>
                <w:bCs/>
                <w:color w:val="000000"/>
                <w:u w:val="single"/>
              </w:rPr>
              <w:t xml:space="preserve"> OZE</w:t>
            </w:r>
          </w:p>
          <w:p w14:paraId="44F15588" w14:textId="45CD4D4D" w:rsidR="00101B3C" w:rsidRPr="000D3F79" w:rsidRDefault="00101B3C" w:rsidP="000D3F79">
            <w:pPr>
              <w:numPr>
                <w:ilvl w:val="0"/>
                <w:numId w:val="131"/>
              </w:numPr>
              <w:spacing w:line="240" w:lineRule="auto"/>
              <w:jc w:val="both"/>
              <w:rPr>
                <w:rFonts w:ascii="Times New Roman" w:hAnsi="Times New Roman"/>
                <w:color w:val="000000"/>
              </w:rPr>
            </w:pPr>
            <w:r w:rsidRPr="00101B3C">
              <w:rPr>
                <w:rFonts w:ascii="Times New Roman" w:hAnsi="Times New Roman"/>
                <w:color w:val="000000"/>
              </w:rPr>
              <w:t>Tworzy się jeden elektroniczny Krajowy Punkt Kontaktowy</w:t>
            </w:r>
            <w:r w:rsidR="009F7669">
              <w:rPr>
                <w:rFonts w:ascii="Times New Roman" w:hAnsi="Times New Roman"/>
                <w:color w:val="000000"/>
              </w:rPr>
              <w:t xml:space="preserve"> </w:t>
            </w:r>
            <w:r w:rsidR="00682403">
              <w:rPr>
                <w:rFonts w:ascii="Times New Roman" w:hAnsi="Times New Roman"/>
                <w:color w:val="000000"/>
              </w:rPr>
              <w:t>do spraw o</w:t>
            </w:r>
            <w:r w:rsidR="009F7669">
              <w:rPr>
                <w:rFonts w:ascii="Times New Roman" w:hAnsi="Times New Roman"/>
                <w:color w:val="000000"/>
              </w:rPr>
              <w:t xml:space="preserve">dnawialnych </w:t>
            </w:r>
            <w:r w:rsidR="00682403">
              <w:rPr>
                <w:rFonts w:ascii="Times New Roman" w:hAnsi="Times New Roman"/>
                <w:color w:val="000000"/>
              </w:rPr>
              <w:t>ź</w:t>
            </w:r>
            <w:r w:rsidR="009F7669">
              <w:rPr>
                <w:rFonts w:ascii="Times New Roman" w:hAnsi="Times New Roman"/>
                <w:color w:val="000000"/>
              </w:rPr>
              <w:t xml:space="preserve">ródeł </w:t>
            </w:r>
            <w:r w:rsidR="00682403">
              <w:rPr>
                <w:rFonts w:ascii="Times New Roman" w:hAnsi="Times New Roman"/>
                <w:color w:val="000000"/>
              </w:rPr>
              <w:t>e</w:t>
            </w:r>
            <w:r w:rsidR="009F7669">
              <w:rPr>
                <w:rFonts w:ascii="Times New Roman" w:hAnsi="Times New Roman"/>
                <w:color w:val="000000"/>
              </w:rPr>
              <w:t>nergii</w:t>
            </w:r>
            <w:r w:rsidRPr="00101B3C">
              <w:rPr>
                <w:rFonts w:ascii="Times New Roman" w:hAnsi="Times New Roman"/>
                <w:color w:val="000000"/>
              </w:rPr>
              <w:t xml:space="preserve">, powiązany organizacyjnie z ministrem właściwym ds. </w:t>
            </w:r>
            <w:r w:rsidR="00F96745">
              <w:rPr>
                <w:rFonts w:ascii="Times New Roman" w:hAnsi="Times New Roman"/>
                <w:color w:val="000000"/>
              </w:rPr>
              <w:t>klimatu.</w:t>
            </w:r>
            <w:r w:rsidRPr="00101B3C">
              <w:rPr>
                <w:rFonts w:ascii="Times New Roman" w:hAnsi="Times New Roman"/>
                <w:color w:val="000000"/>
              </w:rPr>
              <w:t xml:space="preserve"> </w:t>
            </w:r>
          </w:p>
          <w:p w14:paraId="796B2D7A" w14:textId="3492EDF7" w:rsidR="00101B3C" w:rsidRPr="00101B3C" w:rsidRDefault="00101B3C" w:rsidP="005337BC">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KPK </w:t>
            </w:r>
            <w:r w:rsidR="00655047">
              <w:rPr>
                <w:rFonts w:ascii="Times New Roman" w:hAnsi="Times New Roman"/>
                <w:color w:val="000000"/>
              </w:rPr>
              <w:t>OZE</w:t>
            </w:r>
            <w:r w:rsidR="00D90410">
              <w:rPr>
                <w:rFonts w:ascii="Times New Roman" w:hAnsi="Times New Roman"/>
                <w:color w:val="000000"/>
              </w:rPr>
              <w:t>,</w:t>
            </w:r>
            <w:r w:rsidR="00655047">
              <w:rPr>
                <w:rFonts w:ascii="Times New Roman" w:hAnsi="Times New Roman"/>
                <w:color w:val="000000"/>
              </w:rPr>
              <w:t xml:space="preserve"> </w:t>
            </w:r>
            <w:r w:rsidRPr="00101B3C">
              <w:rPr>
                <w:rFonts w:ascii="Times New Roman" w:hAnsi="Times New Roman"/>
                <w:color w:val="000000"/>
              </w:rPr>
              <w:t>jako punkt elektroniczny</w:t>
            </w:r>
            <w:r w:rsidR="00D90410">
              <w:rPr>
                <w:rFonts w:ascii="Times New Roman" w:hAnsi="Times New Roman"/>
                <w:color w:val="000000"/>
              </w:rPr>
              <w:t>,</w:t>
            </w:r>
            <w:r w:rsidRPr="00101B3C">
              <w:rPr>
                <w:rFonts w:ascii="Times New Roman" w:hAnsi="Times New Roman"/>
                <w:color w:val="000000"/>
              </w:rPr>
              <w:t xml:space="preserve"> znajdować się będzie na stronie internetowej z domeną gov.pl właściwą dla obsługi urzędu administracji rządowej kierowanego przez ministra właściwego </w:t>
            </w:r>
            <w:r w:rsidR="00DA03DF">
              <w:rPr>
                <w:rFonts w:ascii="Times New Roman" w:hAnsi="Times New Roman"/>
                <w:color w:val="000000"/>
              </w:rPr>
              <w:t>ds. klimatu</w:t>
            </w:r>
            <w:r w:rsidRPr="00101B3C">
              <w:rPr>
                <w:rFonts w:ascii="Times New Roman" w:hAnsi="Times New Roman"/>
                <w:color w:val="000000"/>
              </w:rPr>
              <w:t xml:space="preserve">. Takie usytuowanie KPK </w:t>
            </w:r>
            <w:r w:rsidR="00655047">
              <w:rPr>
                <w:rFonts w:ascii="Times New Roman" w:hAnsi="Times New Roman"/>
                <w:color w:val="000000"/>
              </w:rPr>
              <w:t xml:space="preserve">OZE </w:t>
            </w:r>
            <w:r w:rsidRPr="00101B3C">
              <w:rPr>
                <w:rFonts w:ascii="Times New Roman" w:hAnsi="Times New Roman"/>
                <w:color w:val="000000"/>
              </w:rPr>
              <w:t>ma za zadanie skorzystanie z funkcjonującej i popularnej strony internetowej dobrze pozycjonowanej w wyszukiwarkach internetowych. Co więcej</w:t>
            </w:r>
            <w:r w:rsidR="00080247">
              <w:rPr>
                <w:rFonts w:ascii="Times New Roman" w:hAnsi="Times New Roman"/>
                <w:color w:val="000000"/>
              </w:rPr>
              <w:t>,</w:t>
            </w:r>
            <w:r w:rsidRPr="00101B3C">
              <w:rPr>
                <w:rFonts w:ascii="Times New Roman" w:hAnsi="Times New Roman"/>
                <w:color w:val="000000"/>
              </w:rPr>
              <w:t xml:space="preserve"> </w:t>
            </w:r>
            <w:r w:rsidR="00AF0426">
              <w:rPr>
                <w:rFonts w:ascii="Times New Roman" w:hAnsi="Times New Roman"/>
                <w:color w:val="000000"/>
              </w:rPr>
              <w:t>to rozwiązanie</w:t>
            </w:r>
            <w:r w:rsidRPr="00101B3C">
              <w:rPr>
                <w:rFonts w:ascii="Times New Roman" w:hAnsi="Times New Roman"/>
                <w:color w:val="000000"/>
              </w:rPr>
              <w:t xml:space="preserve"> zapewnia bezpieczeństwo, iż </w:t>
            </w:r>
            <w:r w:rsidR="00300F2E">
              <w:rPr>
                <w:rFonts w:ascii="Times New Roman" w:hAnsi="Times New Roman"/>
                <w:color w:val="000000"/>
              </w:rPr>
              <w:t>w</w:t>
            </w:r>
            <w:r w:rsidR="00300F2E" w:rsidRPr="00101B3C">
              <w:rPr>
                <w:rFonts w:ascii="Times New Roman" w:hAnsi="Times New Roman"/>
                <w:color w:val="000000"/>
              </w:rPr>
              <w:t xml:space="preserve">nioskodawcy </w:t>
            </w:r>
            <w:r w:rsidRPr="00101B3C">
              <w:rPr>
                <w:rFonts w:ascii="Times New Roman" w:hAnsi="Times New Roman"/>
                <w:color w:val="000000"/>
              </w:rPr>
              <w:t xml:space="preserve">korzystają z oficjalnego punktu, na którym dodawane są tylko wiarygodne i sprawdzone treści. </w:t>
            </w:r>
          </w:p>
          <w:p w14:paraId="0A0111EC" w14:textId="5C7F4747" w:rsidR="006A62BD" w:rsidRPr="00101B3C" w:rsidRDefault="00101B3C" w:rsidP="005337BC">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KPK </w:t>
            </w:r>
            <w:bookmarkStart w:id="5" w:name="_Hlk72992898"/>
            <w:r w:rsidR="00655047">
              <w:rPr>
                <w:rFonts w:ascii="Times New Roman" w:hAnsi="Times New Roman"/>
                <w:color w:val="000000"/>
              </w:rPr>
              <w:t xml:space="preserve">OZE </w:t>
            </w:r>
            <w:r w:rsidRPr="00101B3C">
              <w:rPr>
                <w:rFonts w:ascii="Times New Roman" w:hAnsi="Times New Roman"/>
                <w:color w:val="000000"/>
              </w:rPr>
              <w:t>stanowi platformę informacyjną dla wnioskodawców</w:t>
            </w:r>
            <w:bookmarkEnd w:id="5"/>
            <w:r w:rsidRPr="00101B3C">
              <w:rPr>
                <w:rFonts w:ascii="Times New Roman" w:hAnsi="Times New Roman"/>
                <w:color w:val="000000"/>
              </w:rPr>
              <w:t xml:space="preserve">. Punkt ten powinien być postrzegany jako pierwszy punkt kontaktowy, w którym wnioskodawca może znaleźć informacje na temat tego, jakie pozwolenia są wymagane dla jego projektu i w jaki sposób te procedury są </w:t>
            </w:r>
            <w:r w:rsidR="0060415A" w:rsidRPr="00101B3C">
              <w:rPr>
                <w:rFonts w:ascii="Times New Roman" w:hAnsi="Times New Roman"/>
                <w:color w:val="000000"/>
              </w:rPr>
              <w:t>przeprowadzane,</w:t>
            </w:r>
            <w:r w:rsidRPr="00101B3C">
              <w:rPr>
                <w:rFonts w:ascii="Times New Roman" w:hAnsi="Times New Roman"/>
                <w:color w:val="000000"/>
              </w:rPr>
              <w:t xml:space="preserve"> czyli</w:t>
            </w:r>
            <w:r w:rsidR="00F4795D">
              <w:rPr>
                <w:rFonts w:ascii="Times New Roman" w:hAnsi="Times New Roman"/>
                <w:color w:val="000000"/>
              </w:rPr>
              <w:t xml:space="preserve"> </w:t>
            </w:r>
            <w:proofErr w:type="spellStart"/>
            <w:r w:rsidR="00F4795D">
              <w:rPr>
                <w:rFonts w:ascii="Times New Roman" w:hAnsi="Times New Roman"/>
                <w:color w:val="000000"/>
              </w:rPr>
              <w:t>np</w:t>
            </w:r>
            <w:proofErr w:type="spellEnd"/>
            <w:r w:rsidRPr="00101B3C">
              <w:rPr>
                <w:rFonts w:ascii="Times New Roman" w:hAnsi="Times New Roman"/>
                <w:color w:val="000000"/>
              </w:rPr>
              <w:t>:</w:t>
            </w:r>
          </w:p>
          <w:p w14:paraId="34B874E2" w14:textId="15C2F2BD"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s</w:t>
            </w:r>
            <w:r w:rsidR="00101B3C" w:rsidRPr="004D6C3B">
              <w:rPr>
                <w:rFonts w:ascii="Times New Roman" w:hAnsi="Times New Roman"/>
                <w:color w:val="000000"/>
              </w:rPr>
              <w:t>posób załatwienia sprawy (listownie lub elektronicznie)</w:t>
            </w:r>
            <w:r w:rsidR="00AF0426">
              <w:rPr>
                <w:rFonts w:ascii="Times New Roman" w:hAnsi="Times New Roman"/>
                <w:color w:val="000000"/>
              </w:rPr>
              <w:t>,</w:t>
            </w:r>
          </w:p>
          <w:p w14:paraId="42FFD6D2" w14:textId="72E6F23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01B3C" w:rsidRPr="004D6C3B">
              <w:rPr>
                <w:rFonts w:ascii="Times New Roman" w:hAnsi="Times New Roman"/>
                <w:color w:val="000000"/>
              </w:rPr>
              <w:t>odstawowe informacje, które powinien wiedzieć wnioskodawca przed rozpoczęciem postępowania</w:t>
            </w:r>
            <w:r w:rsidR="00AF0426">
              <w:rPr>
                <w:rFonts w:ascii="Times New Roman" w:hAnsi="Times New Roman"/>
                <w:color w:val="000000"/>
              </w:rPr>
              <w:t>,</w:t>
            </w:r>
          </w:p>
          <w:p w14:paraId="4396B25A" w14:textId="72DF273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w</w:t>
            </w:r>
            <w:r w:rsidR="00101B3C" w:rsidRPr="004D6C3B">
              <w:rPr>
                <w:rFonts w:ascii="Times New Roman" w:hAnsi="Times New Roman"/>
                <w:color w:val="000000"/>
              </w:rPr>
              <w:t xml:space="preserve">arunki, które trzeba spełnić, aby przystąpić do </w:t>
            </w:r>
            <w:r>
              <w:rPr>
                <w:rFonts w:ascii="Times New Roman" w:hAnsi="Times New Roman"/>
                <w:color w:val="000000"/>
              </w:rPr>
              <w:t xml:space="preserve">danego </w:t>
            </w:r>
            <w:r w:rsidR="00101B3C" w:rsidRPr="004D6C3B">
              <w:rPr>
                <w:rFonts w:ascii="Times New Roman" w:hAnsi="Times New Roman"/>
                <w:color w:val="000000"/>
              </w:rPr>
              <w:t>postępowania</w:t>
            </w:r>
            <w:r w:rsidR="00AF0426">
              <w:rPr>
                <w:rFonts w:ascii="Times New Roman" w:hAnsi="Times New Roman"/>
                <w:color w:val="000000"/>
              </w:rPr>
              <w:t>,</w:t>
            </w:r>
            <w:r w:rsidR="00101B3C" w:rsidRPr="004D6C3B">
              <w:rPr>
                <w:rFonts w:ascii="Times New Roman" w:hAnsi="Times New Roman"/>
                <w:color w:val="000000"/>
              </w:rPr>
              <w:t xml:space="preserve"> </w:t>
            </w:r>
          </w:p>
          <w:p w14:paraId="50BB3590" w14:textId="75F0F406"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c</w:t>
            </w:r>
            <w:r w:rsidR="00101B3C" w:rsidRPr="004D6C3B">
              <w:rPr>
                <w:rFonts w:ascii="Times New Roman" w:hAnsi="Times New Roman"/>
                <w:color w:val="000000"/>
              </w:rPr>
              <w:t>zas w jakim należy załatwić sprawę</w:t>
            </w:r>
            <w:r w:rsidR="00AF0426">
              <w:rPr>
                <w:rFonts w:ascii="Times New Roman" w:hAnsi="Times New Roman"/>
                <w:color w:val="000000"/>
              </w:rPr>
              <w:t>,</w:t>
            </w:r>
            <w:r w:rsidR="00101B3C" w:rsidRPr="004D6C3B">
              <w:rPr>
                <w:rFonts w:ascii="Times New Roman" w:hAnsi="Times New Roman"/>
                <w:color w:val="000000"/>
              </w:rPr>
              <w:t xml:space="preserve"> </w:t>
            </w:r>
          </w:p>
          <w:p w14:paraId="1F0C9DBC" w14:textId="37CE721B" w:rsidR="006A62BD"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B96346">
              <w:rPr>
                <w:rFonts w:ascii="Times New Roman" w:hAnsi="Times New Roman"/>
                <w:color w:val="000000"/>
              </w:rPr>
              <w:t>rgan, właściwy do realizacji sprawy (z możliwością wyszukania za pomocą wpisania nazwy m</w:t>
            </w:r>
            <w:r w:rsidR="00101B3C" w:rsidRPr="007D03F6">
              <w:rPr>
                <w:rFonts w:ascii="Times New Roman" w:hAnsi="Times New Roman"/>
                <w:color w:val="000000"/>
              </w:rPr>
              <w:t>iejscowości lub</w:t>
            </w:r>
          </w:p>
          <w:p w14:paraId="03026043" w14:textId="6B917A87" w:rsidR="006A62BD" w:rsidRPr="004D6C3B" w:rsidRDefault="00101B3C" w:rsidP="000D3F79">
            <w:pPr>
              <w:spacing w:line="240" w:lineRule="auto"/>
              <w:ind w:left="771"/>
              <w:jc w:val="both"/>
              <w:rPr>
                <w:rFonts w:ascii="Times New Roman" w:hAnsi="Times New Roman"/>
                <w:color w:val="000000"/>
              </w:rPr>
            </w:pPr>
            <w:r w:rsidRPr="004D6C3B">
              <w:rPr>
                <w:rFonts w:ascii="Times New Roman" w:hAnsi="Times New Roman"/>
                <w:color w:val="000000"/>
              </w:rPr>
              <w:t>kodu pocztowego)</w:t>
            </w:r>
            <w:r w:rsidR="00AF0426">
              <w:rPr>
                <w:rFonts w:ascii="Times New Roman" w:hAnsi="Times New Roman"/>
                <w:color w:val="000000"/>
              </w:rPr>
              <w:t>,</w:t>
            </w:r>
          </w:p>
          <w:p w14:paraId="1EB7A4F9" w14:textId="05FC4D41"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4D6C3B">
              <w:rPr>
                <w:rFonts w:ascii="Times New Roman" w:hAnsi="Times New Roman"/>
                <w:color w:val="000000"/>
              </w:rPr>
              <w:t>pis czynności jakie musi spełnić wnioskodawca krok po kroku</w:t>
            </w:r>
            <w:r w:rsidR="00AF0426">
              <w:rPr>
                <w:rFonts w:ascii="Times New Roman" w:hAnsi="Times New Roman"/>
                <w:color w:val="000000"/>
              </w:rPr>
              <w:t>,</w:t>
            </w:r>
            <w:r w:rsidR="00AD7B1E">
              <w:rPr>
                <w:rFonts w:ascii="Times New Roman" w:hAnsi="Times New Roman"/>
                <w:color w:val="000000"/>
              </w:rPr>
              <w:t xml:space="preserve"> </w:t>
            </w:r>
          </w:p>
          <w:p w14:paraId="58341FF3" w14:textId="3B2C691E"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01B3C" w:rsidRPr="004D6C3B">
              <w:rPr>
                <w:rFonts w:ascii="Times New Roman" w:hAnsi="Times New Roman"/>
                <w:color w:val="000000"/>
              </w:rPr>
              <w:t>rzedstawienie czynności wykonywanych przez organ wydający rozstrzygnięcie</w:t>
            </w:r>
            <w:r w:rsidR="00AF0426">
              <w:rPr>
                <w:rFonts w:ascii="Times New Roman" w:hAnsi="Times New Roman"/>
                <w:color w:val="000000"/>
              </w:rPr>
              <w:t>,</w:t>
            </w:r>
          </w:p>
          <w:p w14:paraId="750AAA0D" w14:textId="31C967B6"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k</w:t>
            </w:r>
            <w:r w:rsidR="00101B3C" w:rsidRPr="004D6C3B">
              <w:rPr>
                <w:rFonts w:ascii="Times New Roman" w:hAnsi="Times New Roman"/>
                <w:color w:val="000000"/>
              </w:rPr>
              <w:t>oszt postępowania</w:t>
            </w:r>
            <w:r w:rsidR="00AF0426">
              <w:rPr>
                <w:rFonts w:ascii="Times New Roman" w:hAnsi="Times New Roman"/>
                <w:color w:val="000000"/>
              </w:rPr>
              <w:t>,</w:t>
            </w:r>
          </w:p>
          <w:p w14:paraId="7A4E58D6" w14:textId="169C735B" w:rsidR="006A62BD"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c</w:t>
            </w:r>
            <w:r w:rsidR="00101B3C" w:rsidRPr="004D6C3B">
              <w:rPr>
                <w:rFonts w:ascii="Times New Roman" w:hAnsi="Times New Roman"/>
                <w:color w:val="000000"/>
              </w:rPr>
              <w:t>zas trwania postępowania</w:t>
            </w:r>
            <w:r w:rsidR="00AF0426">
              <w:rPr>
                <w:rFonts w:ascii="Times New Roman" w:hAnsi="Times New Roman"/>
                <w:color w:val="000000"/>
              </w:rPr>
              <w:t>,</w:t>
            </w:r>
          </w:p>
          <w:p w14:paraId="0C7C0771" w14:textId="0B02336B" w:rsidR="00101B3C" w:rsidRPr="004D6C3B" w:rsidRDefault="00D90410" w:rsidP="000D3F79">
            <w:pPr>
              <w:numPr>
                <w:ilvl w:val="0"/>
                <w:numId w:val="131"/>
              </w:numPr>
              <w:spacing w:line="240" w:lineRule="auto"/>
              <w:ind w:left="771"/>
              <w:jc w:val="both"/>
              <w:rPr>
                <w:rFonts w:ascii="Times New Roman" w:hAnsi="Times New Roman"/>
                <w:color w:val="000000"/>
              </w:rPr>
            </w:pPr>
            <w:r>
              <w:rPr>
                <w:rFonts w:ascii="Times New Roman" w:hAnsi="Times New Roman"/>
                <w:color w:val="000000"/>
              </w:rPr>
              <w:t>o</w:t>
            </w:r>
            <w:r w:rsidR="00101B3C" w:rsidRPr="004D6C3B">
              <w:rPr>
                <w:rFonts w:ascii="Times New Roman" w:hAnsi="Times New Roman"/>
                <w:color w:val="000000"/>
              </w:rPr>
              <w:t>dwołanie się od rozstrzygnięcia</w:t>
            </w:r>
            <w:r w:rsidR="00AF0426">
              <w:rPr>
                <w:rFonts w:ascii="Times New Roman" w:hAnsi="Times New Roman"/>
                <w:color w:val="000000"/>
              </w:rPr>
              <w:t>.</w:t>
            </w:r>
          </w:p>
          <w:p w14:paraId="164D81F2" w14:textId="3D5E2312" w:rsidR="00783617" w:rsidRDefault="00101B3C" w:rsidP="00D90410">
            <w:pPr>
              <w:numPr>
                <w:ilvl w:val="0"/>
                <w:numId w:val="131"/>
              </w:numPr>
              <w:spacing w:line="240" w:lineRule="auto"/>
              <w:jc w:val="both"/>
              <w:rPr>
                <w:rFonts w:ascii="Times New Roman" w:hAnsi="Times New Roman"/>
                <w:color w:val="000000"/>
              </w:rPr>
            </w:pPr>
            <w:r w:rsidRPr="00101B3C">
              <w:rPr>
                <w:rFonts w:ascii="Times New Roman" w:hAnsi="Times New Roman"/>
                <w:color w:val="000000"/>
              </w:rPr>
              <w:t xml:space="preserve">Informacje, o których mowa w </w:t>
            </w:r>
            <w:r w:rsidR="00E64170">
              <w:rPr>
                <w:rFonts w:ascii="Times New Roman" w:hAnsi="Times New Roman"/>
                <w:color w:val="000000"/>
              </w:rPr>
              <w:t>ww. punkcie</w:t>
            </w:r>
            <w:r w:rsidR="00300F2E">
              <w:rPr>
                <w:rFonts w:ascii="Times New Roman" w:hAnsi="Times New Roman"/>
                <w:color w:val="000000"/>
              </w:rPr>
              <w:t>,</w:t>
            </w:r>
            <w:r w:rsidR="00E64170">
              <w:rPr>
                <w:rFonts w:ascii="Times New Roman" w:hAnsi="Times New Roman"/>
                <w:color w:val="000000"/>
              </w:rPr>
              <w:t xml:space="preserve"> </w:t>
            </w:r>
            <w:r w:rsidRPr="00101B3C">
              <w:rPr>
                <w:rFonts w:ascii="Times New Roman" w:hAnsi="Times New Roman"/>
                <w:color w:val="000000"/>
              </w:rPr>
              <w:t>mogą zostać zawarte bezpośrednio na stronie KPK</w:t>
            </w:r>
            <w:r w:rsidR="00655047">
              <w:rPr>
                <w:rFonts w:ascii="Times New Roman" w:hAnsi="Times New Roman"/>
                <w:color w:val="000000"/>
              </w:rPr>
              <w:t xml:space="preserve"> OZE</w:t>
            </w:r>
            <w:r w:rsidRPr="00101B3C">
              <w:rPr>
                <w:rFonts w:ascii="Times New Roman" w:hAnsi="Times New Roman"/>
                <w:color w:val="000000"/>
              </w:rPr>
              <w:t xml:space="preserve">, jak również powyższa strona </w:t>
            </w:r>
            <w:r w:rsidR="00E64170">
              <w:rPr>
                <w:rFonts w:ascii="Times New Roman" w:hAnsi="Times New Roman"/>
                <w:color w:val="000000"/>
              </w:rPr>
              <w:t>powinna</w:t>
            </w:r>
            <w:r w:rsidR="00E64170" w:rsidRPr="00101B3C">
              <w:rPr>
                <w:rFonts w:ascii="Times New Roman" w:hAnsi="Times New Roman"/>
                <w:color w:val="000000"/>
              </w:rPr>
              <w:t xml:space="preserve"> </w:t>
            </w:r>
            <w:r w:rsidRPr="00101B3C">
              <w:rPr>
                <w:rFonts w:ascii="Times New Roman" w:hAnsi="Times New Roman"/>
                <w:color w:val="000000"/>
              </w:rPr>
              <w:t>za pomocą bezpośrednich linków przeprowadzić wnioskodawcę do konkretnej strony internetowej właściwego organu administracyjnego, który</w:t>
            </w:r>
            <w:r w:rsidR="00D90410">
              <w:rPr>
                <w:rFonts w:ascii="Times New Roman" w:hAnsi="Times New Roman"/>
                <w:color w:val="000000"/>
              </w:rPr>
              <w:t>,</w:t>
            </w:r>
            <w:r w:rsidRPr="00101B3C">
              <w:rPr>
                <w:rFonts w:ascii="Times New Roman" w:hAnsi="Times New Roman"/>
                <w:color w:val="000000"/>
              </w:rPr>
              <w:t xml:space="preserve"> ze względu na swoją właściwość</w:t>
            </w:r>
            <w:r w:rsidR="00D90410">
              <w:rPr>
                <w:rFonts w:ascii="Times New Roman" w:hAnsi="Times New Roman"/>
                <w:color w:val="000000"/>
              </w:rPr>
              <w:t>,</w:t>
            </w:r>
            <w:r w:rsidRPr="00101B3C">
              <w:rPr>
                <w:rFonts w:ascii="Times New Roman" w:hAnsi="Times New Roman"/>
                <w:color w:val="000000"/>
              </w:rPr>
              <w:t xml:space="preserve"> opisuje powyższe informacje</w:t>
            </w:r>
            <w:r w:rsidR="00AD7B1E">
              <w:rPr>
                <w:rFonts w:ascii="Times New Roman" w:hAnsi="Times New Roman"/>
                <w:color w:val="000000"/>
              </w:rPr>
              <w:t xml:space="preserve"> </w:t>
            </w:r>
            <w:r w:rsidRPr="00101B3C">
              <w:rPr>
                <w:rFonts w:ascii="Times New Roman" w:hAnsi="Times New Roman"/>
                <w:color w:val="000000"/>
              </w:rPr>
              <w:t>w sposób bardziej szczegółowy. Zawarte</w:t>
            </w:r>
            <w:r w:rsidR="00D90410">
              <w:rPr>
                <w:rFonts w:ascii="Times New Roman" w:hAnsi="Times New Roman"/>
                <w:color w:val="000000"/>
              </w:rPr>
              <w:t xml:space="preserve"> </w:t>
            </w:r>
            <w:r w:rsidRPr="00101B3C">
              <w:rPr>
                <w:rFonts w:ascii="Times New Roman" w:hAnsi="Times New Roman"/>
                <w:color w:val="000000"/>
              </w:rPr>
              <w:t xml:space="preserve">na </w:t>
            </w:r>
            <w:r w:rsidR="00D90410">
              <w:rPr>
                <w:rFonts w:ascii="Times New Roman" w:hAnsi="Times New Roman"/>
                <w:color w:val="000000"/>
              </w:rPr>
              <w:t>ww.</w:t>
            </w:r>
            <w:r w:rsidR="00D90410" w:rsidRPr="00101B3C">
              <w:rPr>
                <w:rFonts w:ascii="Times New Roman" w:hAnsi="Times New Roman"/>
                <w:color w:val="000000"/>
              </w:rPr>
              <w:t xml:space="preserve"> </w:t>
            </w:r>
            <w:r w:rsidRPr="00101B3C">
              <w:rPr>
                <w:rFonts w:ascii="Times New Roman" w:hAnsi="Times New Roman"/>
                <w:color w:val="000000"/>
              </w:rPr>
              <w:t xml:space="preserve">stronach internetowych </w:t>
            </w:r>
            <w:r w:rsidR="00D90410">
              <w:rPr>
                <w:rFonts w:ascii="Times New Roman" w:hAnsi="Times New Roman"/>
                <w:color w:val="000000"/>
              </w:rPr>
              <w:t xml:space="preserve">dane </w:t>
            </w:r>
            <w:r w:rsidRPr="00101B3C">
              <w:rPr>
                <w:rFonts w:ascii="Times New Roman" w:hAnsi="Times New Roman"/>
                <w:color w:val="000000"/>
              </w:rPr>
              <w:t>muszą być opisane w sposób dokładny i przejrzysty. Muszą również w sposób jednoznaczny wskazywać na organ merytoryczny właściwy w sprawie, do którego należy kierować pytania bardziej szczegółowe.</w:t>
            </w:r>
          </w:p>
          <w:p w14:paraId="0015FD0A" w14:textId="00012631" w:rsidR="007D03F6" w:rsidRDefault="00783617">
            <w:pPr>
              <w:numPr>
                <w:ilvl w:val="0"/>
                <w:numId w:val="131"/>
              </w:numPr>
              <w:spacing w:line="240" w:lineRule="auto"/>
              <w:jc w:val="both"/>
              <w:rPr>
                <w:rFonts w:ascii="Times New Roman" w:hAnsi="Times New Roman"/>
                <w:color w:val="000000"/>
              </w:rPr>
            </w:pPr>
            <w:r w:rsidRPr="00783617">
              <w:rPr>
                <w:rFonts w:ascii="Times New Roman" w:hAnsi="Times New Roman"/>
                <w:color w:val="000000"/>
              </w:rPr>
              <w:t>Za pomocą strony internetowej KPK</w:t>
            </w:r>
            <w:r w:rsidR="00655047">
              <w:rPr>
                <w:rFonts w:ascii="Times New Roman" w:hAnsi="Times New Roman"/>
                <w:color w:val="000000"/>
              </w:rPr>
              <w:t xml:space="preserve"> OZE</w:t>
            </w:r>
            <w:r w:rsidRPr="00783617">
              <w:rPr>
                <w:rFonts w:ascii="Times New Roman" w:hAnsi="Times New Roman"/>
                <w:color w:val="000000"/>
              </w:rPr>
              <w:t xml:space="preserve"> może świadczyć </w:t>
            </w:r>
            <w:r w:rsidR="00655047" w:rsidRPr="00783617">
              <w:rPr>
                <w:rFonts w:ascii="Times New Roman" w:hAnsi="Times New Roman"/>
                <w:color w:val="000000"/>
              </w:rPr>
              <w:t>usługi,</w:t>
            </w:r>
            <w:r w:rsidRPr="00783617">
              <w:rPr>
                <w:rFonts w:ascii="Times New Roman" w:hAnsi="Times New Roman"/>
                <w:color w:val="000000"/>
              </w:rPr>
              <w:t xml:space="preserve"> w ramach których wnioskodawca, będzie mógł uzyskać odpowiedź na swoje ogólne zapytania, które dotyczą informacji zawartych na stronie. W przypadku pytań</w:t>
            </w:r>
            <w:r w:rsidR="00647181">
              <w:rPr>
                <w:rFonts w:ascii="Times New Roman" w:hAnsi="Times New Roman"/>
                <w:color w:val="000000"/>
              </w:rPr>
              <w:t xml:space="preserve"> bardziej </w:t>
            </w:r>
            <w:r w:rsidRPr="00783617">
              <w:rPr>
                <w:rFonts w:ascii="Times New Roman" w:hAnsi="Times New Roman"/>
                <w:color w:val="000000"/>
              </w:rPr>
              <w:t>szczegółowych, które wychodzą poza zakres informacji zawartych na stronie internetowej KPK</w:t>
            </w:r>
            <w:r w:rsidR="00655047">
              <w:rPr>
                <w:rFonts w:ascii="Times New Roman" w:hAnsi="Times New Roman"/>
                <w:color w:val="000000"/>
              </w:rPr>
              <w:t xml:space="preserve"> OZE</w:t>
            </w:r>
            <w:r w:rsidRPr="00783617">
              <w:rPr>
                <w:rFonts w:ascii="Times New Roman" w:hAnsi="Times New Roman"/>
                <w:color w:val="000000"/>
              </w:rPr>
              <w:t xml:space="preserve"> przekazuje te zapytania do właściwego organu merytorycznego z prośbą o</w:t>
            </w:r>
            <w:r w:rsidR="00647181">
              <w:rPr>
                <w:rFonts w:ascii="Times New Roman" w:hAnsi="Times New Roman"/>
                <w:color w:val="000000"/>
              </w:rPr>
              <w:t xml:space="preserve"> przesłanie do KPK OZE odpowiedzi</w:t>
            </w:r>
            <w:r w:rsidRPr="00783617">
              <w:rPr>
                <w:rFonts w:ascii="Times New Roman" w:hAnsi="Times New Roman"/>
                <w:color w:val="000000"/>
              </w:rPr>
              <w:t>.</w:t>
            </w:r>
          </w:p>
          <w:p w14:paraId="5E02A07D" w14:textId="2B6DC9EF" w:rsidR="004D6C3B" w:rsidRDefault="004D6C3B" w:rsidP="005337BC">
            <w:pPr>
              <w:numPr>
                <w:ilvl w:val="0"/>
                <w:numId w:val="131"/>
              </w:numPr>
              <w:spacing w:line="240" w:lineRule="auto"/>
              <w:jc w:val="both"/>
              <w:rPr>
                <w:rFonts w:ascii="Times New Roman" w:hAnsi="Times New Roman"/>
                <w:color w:val="000000"/>
              </w:rPr>
            </w:pPr>
            <w:r>
              <w:rPr>
                <w:rFonts w:ascii="Times New Roman" w:hAnsi="Times New Roman"/>
                <w:color w:val="000000"/>
              </w:rPr>
              <w:t>Na stronie internetowej KPK</w:t>
            </w:r>
            <w:r w:rsidR="00655047">
              <w:rPr>
                <w:rFonts w:ascii="Times New Roman" w:hAnsi="Times New Roman"/>
                <w:color w:val="000000"/>
              </w:rPr>
              <w:t xml:space="preserve"> OZE</w:t>
            </w:r>
            <w:r>
              <w:rPr>
                <w:rFonts w:ascii="Times New Roman" w:hAnsi="Times New Roman"/>
                <w:color w:val="000000"/>
              </w:rPr>
              <w:t xml:space="preserve"> udostępniony zostanie podręcznik procedur dla podmiotów realizujących projekty w zakresie produkcji energii odnawialnej ze szczególnym podziałem na </w:t>
            </w:r>
            <w:proofErr w:type="spellStart"/>
            <w:r>
              <w:rPr>
                <w:rFonts w:ascii="Times New Roman" w:hAnsi="Times New Roman"/>
                <w:color w:val="000000"/>
              </w:rPr>
              <w:t>mikroinstalacje</w:t>
            </w:r>
            <w:proofErr w:type="spellEnd"/>
            <w:r>
              <w:rPr>
                <w:rFonts w:ascii="Times New Roman" w:hAnsi="Times New Roman"/>
                <w:color w:val="000000"/>
              </w:rPr>
              <w:t xml:space="preserve"> OZE oraz instalacje o łącznej mocy zainstalowanej większej niż 50 </w:t>
            </w:r>
            <w:proofErr w:type="spellStart"/>
            <w:r>
              <w:rPr>
                <w:rFonts w:ascii="Times New Roman" w:hAnsi="Times New Roman"/>
                <w:color w:val="000000"/>
              </w:rPr>
              <w:t>kW.</w:t>
            </w:r>
            <w:proofErr w:type="spellEnd"/>
            <w:r>
              <w:rPr>
                <w:rFonts w:ascii="Times New Roman" w:hAnsi="Times New Roman"/>
                <w:color w:val="000000"/>
              </w:rPr>
              <w:t xml:space="preserve"> </w:t>
            </w:r>
          </w:p>
          <w:p w14:paraId="1C5828E2" w14:textId="3B357F3E" w:rsidR="002D2A6D" w:rsidRPr="00101B3C" w:rsidRDefault="002D2A6D" w:rsidP="005337BC">
            <w:pPr>
              <w:numPr>
                <w:ilvl w:val="0"/>
                <w:numId w:val="131"/>
              </w:numPr>
              <w:spacing w:line="240" w:lineRule="auto"/>
              <w:jc w:val="both"/>
              <w:rPr>
                <w:rFonts w:ascii="Times New Roman" w:hAnsi="Times New Roman"/>
                <w:color w:val="000000"/>
              </w:rPr>
            </w:pPr>
            <w:r>
              <w:rPr>
                <w:rFonts w:ascii="Times New Roman" w:hAnsi="Times New Roman"/>
                <w:color w:val="000000"/>
              </w:rPr>
              <w:t>W ramach dodatkowych zadań</w:t>
            </w:r>
            <w:r w:rsidR="00D90410">
              <w:rPr>
                <w:rFonts w:ascii="Times New Roman" w:hAnsi="Times New Roman"/>
                <w:color w:val="000000"/>
              </w:rPr>
              <w:t>,</w:t>
            </w:r>
            <w:r>
              <w:rPr>
                <w:rFonts w:ascii="Times New Roman" w:hAnsi="Times New Roman"/>
                <w:color w:val="000000"/>
              </w:rPr>
              <w:t xml:space="preserve"> KPK </w:t>
            </w:r>
            <w:r w:rsidR="0018455F">
              <w:rPr>
                <w:rFonts w:ascii="Times New Roman" w:hAnsi="Times New Roman"/>
                <w:color w:val="000000"/>
              </w:rPr>
              <w:t xml:space="preserve">OZE </w:t>
            </w:r>
            <w:r>
              <w:rPr>
                <w:rFonts w:ascii="Times New Roman" w:hAnsi="Times New Roman"/>
                <w:color w:val="000000"/>
              </w:rPr>
              <w:t xml:space="preserve">może umożliwić dostęp do uzyskania przez wnioskodawców zindywidualizowanych porad dotyczących </w:t>
            </w:r>
            <w:r w:rsidR="004D2201">
              <w:rPr>
                <w:rFonts w:ascii="Times New Roman" w:hAnsi="Times New Roman"/>
                <w:color w:val="000000"/>
              </w:rPr>
              <w:t>procedur</w:t>
            </w:r>
            <w:r>
              <w:rPr>
                <w:rFonts w:ascii="Times New Roman" w:hAnsi="Times New Roman"/>
                <w:color w:val="000000"/>
              </w:rPr>
              <w:t xml:space="preserve">. </w:t>
            </w:r>
          </w:p>
          <w:p w14:paraId="5BA96CFF" w14:textId="78008467" w:rsidR="007D03F6" w:rsidRPr="004D6C3B" w:rsidRDefault="00101B3C" w:rsidP="005337BC">
            <w:pPr>
              <w:numPr>
                <w:ilvl w:val="0"/>
                <w:numId w:val="131"/>
              </w:numPr>
              <w:spacing w:line="240" w:lineRule="auto"/>
              <w:jc w:val="both"/>
            </w:pPr>
            <w:r w:rsidRPr="00101B3C">
              <w:rPr>
                <w:rFonts w:ascii="Times New Roman" w:hAnsi="Times New Roman"/>
                <w:color w:val="000000"/>
              </w:rPr>
              <w:t>Oszacowanie obciążenia strony internetowej oraz wskazanie ilości potencjalnych zainteresowanych informacjami znajdującymi się na stronie internetowej KPK</w:t>
            </w:r>
            <w:r w:rsidR="00655047">
              <w:rPr>
                <w:rFonts w:ascii="Times New Roman" w:hAnsi="Times New Roman"/>
                <w:color w:val="000000"/>
              </w:rPr>
              <w:t xml:space="preserve"> OZE</w:t>
            </w:r>
            <w:r w:rsidRPr="00101B3C">
              <w:rPr>
                <w:rFonts w:ascii="Times New Roman" w:hAnsi="Times New Roman"/>
                <w:color w:val="000000"/>
              </w:rPr>
              <w:t xml:space="preserve"> w podziale na 2 grupy docelowe</w:t>
            </w:r>
            <w:r w:rsidR="001A0CC4">
              <w:rPr>
                <w:rFonts w:ascii="Times New Roman" w:hAnsi="Times New Roman"/>
                <w:color w:val="000000"/>
              </w:rPr>
              <w:t>:</w:t>
            </w:r>
          </w:p>
          <w:p w14:paraId="29C7C8E4" w14:textId="4722C2DF" w:rsidR="001A0CC4" w:rsidRDefault="00D90410" w:rsidP="000D3F79">
            <w:pPr>
              <w:pStyle w:val="Akapitzlist"/>
              <w:numPr>
                <w:ilvl w:val="0"/>
                <w:numId w:val="131"/>
              </w:numPr>
              <w:spacing w:line="240" w:lineRule="auto"/>
              <w:ind w:left="771"/>
              <w:jc w:val="both"/>
              <w:rPr>
                <w:rFonts w:ascii="Times New Roman" w:hAnsi="Times New Roman"/>
                <w:color w:val="000000"/>
              </w:rPr>
            </w:pPr>
            <w:r>
              <w:rPr>
                <w:rFonts w:ascii="Times New Roman" w:hAnsi="Times New Roman"/>
                <w:color w:val="000000"/>
              </w:rPr>
              <w:t>p</w:t>
            </w:r>
            <w:r w:rsidR="001A0CC4" w:rsidRPr="001A0CC4">
              <w:rPr>
                <w:rFonts w:ascii="Times New Roman" w:hAnsi="Times New Roman"/>
                <w:color w:val="000000"/>
              </w:rPr>
              <w:t xml:space="preserve">ierwszą grupą są prosumenci energii odnawialnej, grupa najliczniejsza, jednak nie wymagająca, jeśli chodzi </w:t>
            </w:r>
            <w:r w:rsidR="001A0CC4" w:rsidRPr="001A0CC4">
              <w:rPr>
                <w:rFonts w:ascii="Times New Roman" w:hAnsi="Times New Roman"/>
                <w:color w:val="000000"/>
              </w:rPr>
              <w:br/>
              <w:t xml:space="preserve">potrzebę uzyskania, informacji dotyczących </w:t>
            </w:r>
            <w:r w:rsidR="00647181">
              <w:rPr>
                <w:rFonts w:ascii="Times New Roman" w:hAnsi="Times New Roman"/>
                <w:color w:val="000000"/>
              </w:rPr>
              <w:t>procedur</w:t>
            </w:r>
            <w:r w:rsidR="001A0CC4" w:rsidRPr="001A0CC4">
              <w:rPr>
                <w:rFonts w:ascii="Times New Roman" w:hAnsi="Times New Roman"/>
                <w:color w:val="000000"/>
              </w:rPr>
              <w:t>.</w:t>
            </w:r>
            <w:r w:rsidR="00AD7B1E">
              <w:rPr>
                <w:rFonts w:ascii="Times New Roman" w:hAnsi="Times New Roman"/>
                <w:color w:val="000000"/>
              </w:rPr>
              <w:t xml:space="preserve"> </w:t>
            </w:r>
            <w:r w:rsidR="001A0CC4" w:rsidRPr="001A0CC4">
              <w:rPr>
                <w:rFonts w:ascii="Times New Roman" w:hAnsi="Times New Roman"/>
                <w:color w:val="000000"/>
              </w:rPr>
              <w:t xml:space="preserve">W 2020 roku przyłączono do sieci ok. 300 tysięcy </w:t>
            </w:r>
            <w:proofErr w:type="spellStart"/>
            <w:r w:rsidR="001A0CC4" w:rsidRPr="001A0CC4">
              <w:rPr>
                <w:rFonts w:ascii="Times New Roman" w:hAnsi="Times New Roman"/>
                <w:color w:val="000000"/>
              </w:rPr>
              <w:t>mikroinstalacji</w:t>
            </w:r>
            <w:proofErr w:type="spellEnd"/>
            <w:r w:rsidR="001A0CC4" w:rsidRPr="001A0CC4">
              <w:rPr>
                <w:rFonts w:ascii="Times New Roman" w:hAnsi="Times New Roman"/>
                <w:color w:val="000000"/>
              </w:rPr>
              <w:t xml:space="preserve"> o mocy 2014,8 MW. Oznacza to, iż informacje zawarte na stronie KPK</w:t>
            </w:r>
            <w:r w:rsidR="00655047">
              <w:rPr>
                <w:rFonts w:ascii="Times New Roman" w:hAnsi="Times New Roman"/>
                <w:color w:val="000000"/>
              </w:rPr>
              <w:t xml:space="preserve"> OZE</w:t>
            </w:r>
            <w:r w:rsidR="001A0CC4" w:rsidRPr="001A0CC4">
              <w:rPr>
                <w:rFonts w:ascii="Times New Roman" w:hAnsi="Times New Roman"/>
                <w:color w:val="000000"/>
              </w:rPr>
              <w:t xml:space="preserve"> dotyczące </w:t>
            </w:r>
            <w:proofErr w:type="spellStart"/>
            <w:r w:rsidR="001A0CC4" w:rsidRPr="001A0CC4">
              <w:rPr>
                <w:rFonts w:ascii="Times New Roman" w:hAnsi="Times New Roman"/>
                <w:color w:val="000000"/>
              </w:rPr>
              <w:t>mikroinstalacji</w:t>
            </w:r>
            <w:proofErr w:type="spellEnd"/>
            <w:r w:rsidR="001A0CC4" w:rsidRPr="001A0CC4">
              <w:rPr>
                <w:rFonts w:ascii="Times New Roman" w:hAnsi="Times New Roman"/>
                <w:color w:val="000000"/>
              </w:rPr>
              <w:t xml:space="preserve"> będą skierowane do 300 tysięcy osób rocznie przy obecnej dynamice rozwoju sektora</w:t>
            </w:r>
            <w:r>
              <w:rPr>
                <w:rFonts w:ascii="Times New Roman" w:hAnsi="Times New Roman"/>
                <w:color w:val="000000"/>
              </w:rPr>
              <w:t>;</w:t>
            </w:r>
            <w:r w:rsidR="00AD7B1E">
              <w:rPr>
                <w:rFonts w:ascii="Times New Roman" w:hAnsi="Times New Roman"/>
                <w:color w:val="000000"/>
              </w:rPr>
              <w:t xml:space="preserve"> </w:t>
            </w:r>
          </w:p>
          <w:p w14:paraId="69581E6D" w14:textId="69354DAE" w:rsidR="00647181" w:rsidRPr="000D3F79" w:rsidRDefault="00D90410">
            <w:pPr>
              <w:pStyle w:val="Akapitzlist"/>
              <w:numPr>
                <w:ilvl w:val="0"/>
                <w:numId w:val="131"/>
              </w:numPr>
              <w:spacing w:after="120"/>
              <w:ind w:left="771"/>
              <w:jc w:val="both"/>
            </w:pPr>
            <w:r>
              <w:rPr>
                <w:rFonts w:ascii="Times New Roman" w:hAnsi="Times New Roman"/>
                <w:color w:val="000000"/>
              </w:rPr>
              <w:t>d</w:t>
            </w:r>
            <w:r w:rsidR="001A0CC4" w:rsidRPr="001A0CC4">
              <w:rPr>
                <w:rFonts w:ascii="Times New Roman" w:hAnsi="Times New Roman"/>
                <w:color w:val="000000"/>
              </w:rPr>
              <w:t xml:space="preserve">rugą grupą są wytwórcy produkujący energię z instalacji OZE innych niż </w:t>
            </w:r>
            <w:proofErr w:type="spellStart"/>
            <w:r w:rsidR="001A0CC4" w:rsidRPr="001A0CC4">
              <w:rPr>
                <w:rFonts w:ascii="Times New Roman" w:hAnsi="Times New Roman"/>
                <w:color w:val="000000"/>
              </w:rPr>
              <w:t>mikroinstalacje</w:t>
            </w:r>
            <w:proofErr w:type="spellEnd"/>
            <w:r w:rsidR="001A0CC4" w:rsidRPr="001A0CC4">
              <w:rPr>
                <w:rFonts w:ascii="Times New Roman" w:hAnsi="Times New Roman"/>
                <w:color w:val="000000"/>
              </w:rPr>
              <w:t>. Zgodnie z danymi Urzędu Regulacji Energetyki wg. stanu na dzień 31 grudnia 2019 r. takich instalacji było 2712. Z kolei wg stanu na dzień 31 grudnia 2020 r. ilość tych instalacji wynosiła 3240. Oznacza to, że w ciągu 2020 r. przyłączono do sieci 528 instalacji OZE</w:t>
            </w:r>
            <w:r w:rsidR="00DA03DF">
              <w:rPr>
                <w:rFonts w:ascii="Times New Roman" w:hAnsi="Times New Roman"/>
                <w:color w:val="000000"/>
              </w:rPr>
              <w:t>, których</w:t>
            </w:r>
            <w:r w:rsidR="001A0CC4" w:rsidRPr="001A0CC4">
              <w:rPr>
                <w:rFonts w:ascii="Times New Roman" w:hAnsi="Times New Roman"/>
                <w:color w:val="000000"/>
              </w:rPr>
              <w:t xml:space="preserve"> </w:t>
            </w:r>
            <w:r w:rsidR="00DA03DF">
              <w:rPr>
                <w:rFonts w:ascii="Times New Roman" w:hAnsi="Times New Roman"/>
                <w:color w:val="000000"/>
              </w:rPr>
              <w:t xml:space="preserve">każdorazowo </w:t>
            </w:r>
            <w:r w:rsidR="001A0CC4" w:rsidRPr="001A0CC4">
              <w:rPr>
                <w:rFonts w:ascii="Times New Roman" w:hAnsi="Times New Roman"/>
                <w:color w:val="000000"/>
              </w:rPr>
              <w:t>łączn</w:t>
            </w:r>
            <w:r w:rsidR="00DA03DF">
              <w:rPr>
                <w:rFonts w:ascii="Times New Roman" w:hAnsi="Times New Roman"/>
                <w:color w:val="000000"/>
              </w:rPr>
              <w:t>a</w:t>
            </w:r>
            <w:r w:rsidR="001A0CC4" w:rsidRPr="001A0CC4">
              <w:rPr>
                <w:rFonts w:ascii="Times New Roman" w:hAnsi="Times New Roman"/>
                <w:color w:val="000000"/>
              </w:rPr>
              <w:t xml:space="preserve"> moc zainstalowan</w:t>
            </w:r>
            <w:r w:rsidR="00DA03DF">
              <w:rPr>
                <w:rFonts w:ascii="Times New Roman" w:hAnsi="Times New Roman"/>
                <w:color w:val="000000"/>
              </w:rPr>
              <w:t>a</w:t>
            </w:r>
            <w:r w:rsidR="001A0CC4" w:rsidRPr="001A0CC4">
              <w:rPr>
                <w:rFonts w:ascii="Times New Roman" w:hAnsi="Times New Roman"/>
                <w:color w:val="000000"/>
              </w:rPr>
              <w:t xml:space="preserve"> </w:t>
            </w:r>
            <w:r w:rsidR="00DA03DF">
              <w:rPr>
                <w:rFonts w:ascii="Times New Roman" w:hAnsi="Times New Roman"/>
                <w:color w:val="000000"/>
              </w:rPr>
              <w:t>nie jest większa</w:t>
            </w:r>
            <w:r w:rsidR="001A0CC4" w:rsidRPr="001A0CC4">
              <w:rPr>
                <w:rFonts w:ascii="Times New Roman" w:hAnsi="Times New Roman"/>
                <w:color w:val="000000"/>
              </w:rPr>
              <w:t xml:space="preserve"> niż 50 </w:t>
            </w:r>
            <w:proofErr w:type="spellStart"/>
            <w:r w:rsidR="001A0CC4" w:rsidRPr="001A0CC4">
              <w:rPr>
                <w:rFonts w:ascii="Times New Roman" w:hAnsi="Times New Roman"/>
                <w:color w:val="000000"/>
              </w:rPr>
              <w:t>kW.</w:t>
            </w:r>
            <w:proofErr w:type="spellEnd"/>
            <w:r w:rsidR="00076D41">
              <w:rPr>
                <w:rFonts w:ascii="Times New Roman" w:hAnsi="Times New Roman"/>
                <w:color w:val="000000"/>
              </w:rPr>
              <w:t xml:space="preserve"> </w:t>
            </w:r>
          </w:p>
          <w:p w14:paraId="50E76F94" w14:textId="41698152" w:rsidR="002D7FC1" w:rsidRPr="000435E7" w:rsidRDefault="0040388B">
            <w:pPr>
              <w:spacing w:line="240" w:lineRule="auto"/>
              <w:jc w:val="both"/>
              <w:rPr>
                <w:rFonts w:ascii="Times New Roman" w:hAnsi="Times New Roman"/>
                <w:b/>
                <w:bCs/>
                <w:color w:val="000000"/>
                <w:u w:val="single"/>
              </w:rPr>
            </w:pPr>
            <w:r>
              <w:rPr>
                <w:rFonts w:ascii="Times New Roman" w:hAnsi="Times New Roman"/>
                <w:b/>
                <w:bCs/>
                <w:color w:val="000000"/>
                <w:u w:val="single"/>
              </w:rPr>
              <w:t xml:space="preserve">III.4. </w:t>
            </w:r>
            <w:r w:rsidR="002D7FC1" w:rsidRPr="000435E7">
              <w:rPr>
                <w:rFonts w:ascii="Times New Roman" w:hAnsi="Times New Roman"/>
                <w:b/>
                <w:bCs/>
                <w:color w:val="000000"/>
                <w:u w:val="single"/>
              </w:rPr>
              <w:t>Uproszczenie procedur administracyjnych</w:t>
            </w:r>
          </w:p>
          <w:p w14:paraId="11B494C4" w14:textId="726B156B" w:rsidR="00B8380F" w:rsidRPr="004B458B" w:rsidRDefault="00C44944" w:rsidP="00B8380F">
            <w:pPr>
              <w:spacing w:after="120" w:line="240" w:lineRule="auto"/>
              <w:jc w:val="both"/>
              <w:rPr>
                <w:rFonts w:ascii="Times New Roman" w:hAnsi="Times New Roman"/>
                <w:bCs/>
              </w:rPr>
            </w:pPr>
            <w:r w:rsidRPr="002D7FC1">
              <w:rPr>
                <w:rFonts w:ascii="Times New Roman" w:hAnsi="Times New Roman"/>
                <w:bCs/>
                <w:color w:val="000000"/>
              </w:rPr>
              <w:t xml:space="preserve">Aby spełnić obowiązki określone w </w:t>
            </w:r>
            <w:r w:rsidR="00064CC9">
              <w:rPr>
                <w:rFonts w:ascii="Times New Roman" w:hAnsi="Times New Roman"/>
                <w:bCs/>
                <w:color w:val="000000"/>
              </w:rPr>
              <w:t>RED II</w:t>
            </w:r>
            <w:r w:rsidRPr="002D7FC1">
              <w:rPr>
                <w:rFonts w:ascii="Times New Roman" w:hAnsi="Times New Roman"/>
                <w:bCs/>
                <w:color w:val="000000"/>
              </w:rPr>
              <w:t xml:space="preserve"> konieczne jest podjęcie działań </w:t>
            </w:r>
            <w:r w:rsidR="001C6088">
              <w:rPr>
                <w:rFonts w:ascii="Times New Roman" w:hAnsi="Times New Roman"/>
                <w:bCs/>
                <w:color w:val="000000"/>
              </w:rPr>
              <w:t>umożliwiających</w:t>
            </w:r>
            <w:r w:rsidRPr="002D7FC1">
              <w:rPr>
                <w:rFonts w:ascii="Times New Roman" w:hAnsi="Times New Roman"/>
                <w:bCs/>
                <w:color w:val="000000"/>
              </w:rPr>
              <w:t xml:space="preserve"> przyspieszenie inwestycji w odnawialne źródła energii.</w:t>
            </w:r>
            <w:r>
              <w:rPr>
                <w:rFonts w:ascii="Times New Roman" w:hAnsi="Times New Roman"/>
                <w:bCs/>
              </w:rPr>
              <w:t xml:space="preserve"> </w:t>
            </w:r>
            <w:r w:rsidR="007916DC">
              <w:rPr>
                <w:rFonts w:ascii="Times New Roman" w:hAnsi="Times New Roman"/>
                <w:bCs/>
              </w:rPr>
              <w:t>W celu przyspieszenia inwestycji w OZE n</w:t>
            </w:r>
            <w:r>
              <w:rPr>
                <w:rFonts w:ascii="Times New Roman" w:hAnsi="Times New Roman"/>
                <w:bCs/>
              </w:rPr>
              <w:t xml:space="preserve">ależy </w:t>
            </w:r>
            <w:r w:rsidR="00556207">
              <w:rPr>
                <w:rFonts w:ascii="Times New Roman" w:hAnsi="Times New Roman"/>
                <w:bCs/>
              </w:rPr>
              <w:t xml:space="preserve">jednak </w:t>
            </w:r>
            <w:r>
              <w:rPr>
                <w:rFonts w:ascii="Times New Roman" w:hAnsi="Times New Roman"/>
                <w:bCs/>
              </w:rPr>
              <w:t>usprawnić</w:t>
            </w:r>
            <w:r w:rsidR="00556207">
              <w:rPr>
                <w:rFonts w:ascii="Times New Roman" w:hAnsi="Times New Roman"/>
                <w:bCs/>
              </w:rPr>
              <w:t xml:space="preserve"> także</w:t>
            </w:r>
            <w:r>
              <w:rPr>
                <w:rFonts w:ascii="Times New Roman" w:hAnsi="Times New Roman"/>
                <w:bCs/>
              </w:rPr>
              <w:t xml:space="preserve"> procedurę </w:t>
            </w:r>
            <w:r w:rsidRPr="000D3F79">
              <w:rPr>
                <w:rFonts w:ascii="Times New Roman" w:hAnsi="Times New Roman"/>
                <w:bCs/>
              </w:rPr>
              <w:t xml:space="preserve">przyjmowania </w:t>
            </w:r>
            <w:r w:rsidR="002A2BE6">
              <w:rPr>
                <w:rFonts w:ascii="Times New Roman" w:hAnsi="Times New Roman"/>
                <w:bCs/>
              </w:rPr>
              <w:t xml:space="preserve">gminnych dokumentów planistycznych tj. </w:t>
            </w:r>
            <w:r w:rsidRPr="000D3F79">
              <w:rPr>
                <w:rFonts w:ascii="Times New Roman" w:hAnsi="Times New Roman"/>
                <w:bCs/>
              </w:rPr>
              <w:t xml:space="preserve">studium oraz </w:t>
            </w:r>
            <w:r w:rsidR="00F4795D">
              <w:rPr>
                <w:rFonts w:ascii="Times New Roman" w:hAnsi="Times New Roman"/>
                <w:bCs/>
              </w:rPr>
              <w:t xml:space="preserve">miejscowego planu zagospodarowania </w:t>
            </w:r>
            <w:r w:rsidR="00F4795D">
              <w:rPr>
                <w:rFonts w:ascii="Times New Roman" w:hAnsi="Times New Roman"/>
                <w:bCs/>
              </w:rPr>
              <w:lastRenderedPageBreak/>
              <w:t>przestrzennego (</w:t>
            </w:r>
            <w:r w:rsidRPr="000D3F79">
              <w:rPr>
                <w:rFonts w:ascii="Times New Roman" w:hAnsi="Times New Roman"/>
                <w:bCs/>
              </w:rPr>
              <w:t>MPZP</w:t>
            </w:r>
            <w:r w:rsidR="00F4795D">
              <w:rPr>
                <w:rFonts w:ascii="Times New Roman" w:hAnsi="Times New Roman"/>
                <w:bCs/>
              </w:rPr>
              <w:t>)</w:t>
            </w:r>
            <w:r w:rsidRPr="000D3F79">
              <w:rPr>
                <w:rFonts w:ascii="Times New Roman" w:hAnsi="Times New Roman"/>
                <w:bCs/>
              </w:rPr>
              <w:t xml:space="preserve">, </w:t>
            </w:r>
            <w:r w:rsidRPr="003A1A11">
              <w:rPr>
                <w:rFonts w:ascii="Times New Roman" w:hAnsi="Times New Roman"/>
                <w:bCs/>
              </w:rPr>
              <w:t>które pomimo tego</w:t>
            </w:r>
            <w:r>
              <w:rPr>
                <w:rFonts w:ascii="Times New Roman" w:hAnsi="Times New Roman"/>
                <w:bCs/>
              </w:rPr>
              <w:t>,</w:t>
            </w:r>
            <w:r w:rsidRPr="003A1A11">
              <w:rPr>
                <w:rFonts w:ascii="Times New Roman" w:hAnsi="Times New Roman"/>
                <w:bCs/>
              </w:rPr>
              <w:t xml:space="preserve"> że są rodzajem procesu politycznego, będącego emanacją samorządności społeczności lokalnej, to jednak w wielu przypadkach </w:t>
            </w:r>
            <w:r w:rsidR="00E04E3E">
              <w:rPr>
                <w:rFonts w:ascii="Times New Roman" w:hAnsi="Times New Roman"/>
                <w:bCs/>
              </w:rPr>
              <w:t xml:space="preserve">stanowi </w:t>
            </w:r>
            <w:r w:rsidR="000626FC">
              <w:rPr>
                <w:rFonts w:ascii="Times New Roman" w:hAnsi="Times New Roman"/>
                <w:bCs/>
              </w:rPr>
              <w:t xml:space="preserve">najdłuższy z etapów </w:t>
            </w:r>
            <w:r w:rsidR="007916DC">
              <w:rPr>
                <w:rFonts w:ascii="Times New Roman" w:hAnsi="Times New Roman"/>
                <w:bCs/>
              </w:rPr>
              <w:t xml:space="preserve">– bezpośrednio </w:t>
            </w:r>
            <w:r w:rsidRPr="003A1A11">
              <w:rPr>
                <w:rFonts w:ascii="Times New Roman" w:hAnsi="Times New Roman"/>
                <w:bCs/>
              </w:rPr>
              <w:t>wpływa</w:t>
            </w:r>
            <w:r w:rsidR="000626FC">
              <w:rPr>
                <w:rFonts w:ascii="Times New Roman" w:hAnsi="Times New Roman"/>
                <w:bCs/>
              </w:rPr>
              <w:t>jących</w:t>
            </w:r>
            <w:r w:rsidRPr="003A1A11">
              <w:rPr>
                <w:rFonts w:ascii="Times New Roman" w:hAnsi="Times New Roman"/>
                <w:bCs/>
              </w:rPr>
              <w:t xml:space="preserve"> na długość trwania</w:t>
            </w:r>
            <w:r>
              <w:rPr>
                <w:rFonts w:ascii="Times New Roman" w:hAnsi="Times New Roman"/>
                <w:bCs/>
              </w:rPr>
              <w:t xml:space="preserve"> procesu inwestycyjnego.</w:t>
            </w:r>
            <w:r w:rsidR="00556207">
              <w:rPr>
                <w:rFonts w:ascii="Times New Roman" w:hAnsi="Times New Roman"/>
                <w:bCs/>
              </w:rPr>
              <w:t xml:space="preserve"> </w:t>
            </w:r>
            <w:r w:rsidR="000626FC">
              <w:rPr>
                <w:rFonts w:ascii="Times New Roman" w:hAnsi="Times New Roman"/>
                <w:bCs/>
              </w:rPr>
              <w:t>W tym miejscu n</w:t>
            </w:r>
            <w:r w:rsidR="00822EF5">
              <w:rPr>
                <w:rFonts w:ascii="Times New Roman" w:hAnsi="Times New Roman"/>
                <w:bCs/>
              </w:rPr>
              <w:t xml:space="preserve">ależy </w:t>
            </w:r>
            <w:r w:rsidR="00C22E41">
              <w:rPr>
                <w:rFonts w:ascii="Times New Roman" w:hAnsi="Times New Roman"/>
                <w:bCs/>
              </w:rPr>
              <w:t>zaznaczyć</w:t>
            </w:r>
            <w:r w:rsidR="00822EF5">
              <w:rPr>
                <w:rFonts w:ascii="Times New Roman" w:hAnsi="Times New Roman"/>
                <w:bCs/>
              </w:rPr>
              <w:t xml:space="preserve">, że w ramach administracji rządowej </w:t>
            </w:r>
            <w:r w:rsidR="00EA372A">
              <w:rPr>
                <w:rFonts w:ascii="Times New Roman" w:hAnsi="Times New Roman"/>
                <w:bCs/>
              </w:rPr>
              <w:t xml:space="preserve">prowadzone </w:t>
            </w:r>
            <w:r w:rsidR="00C22E41">
              <w:rPr>
                <w:rFonts w:ascii="Times New Roman" w:hAnsi="Times New Roman"/>
                <w:bCs/>
              </w:rPr>
              <w:t xml:space="preserve">są </w:t>
            </w:r>
            <w:r w:rsidR="00822EF5">
              <w:rPr>
                <w:rFonts w:ascii="Times New Roman" w:hAnsi="Times New Roman"/>
                <w:bCs/>
              </w:rPr>
              <w:t xml:space="preserve">prace nad ograniczeniem </w:t>
            </w:r>
            <w:r w:rsidR="00C22E41">
              <w:rPr>
                <w:rFonts w:ascii="Times New Roman" w:hAnsi="Times New Roman"/>
                <w:bCs/>
              </w:rPr>
              <w:t xml:space="preserve">długości i </w:t>
            </w:r>
            <w:r w:rsidR="007916DC">
              <w:rPr>
                <w:rFonts w:ascii="Times New Roman" w:hAnsi="Times New Roman"/>
                <w:bCs/>
              </w:rPr>
              <w:t xml:space="preserve">istniejącej dotychczas </w:t>
            </w:r>
            <w:r w:rsidR="00822EF5">
              <w:rPr>
                <w:rFonts w:ascii="Times New Roman" w:hAnsi="Times New Roman"/>
                <w:bCs/>
              </w:rPr>
              <w:t>sekwencyjności przyjmowania studium oraz MPZP</w:t>
            </w:r>
            <w:r w:rsidR="00C22E41">
              <w:rPr>
                <w:rFonts w:ascii="Times New Roman" w:hAnsi="Times New Roman"/>
                <w:bCs/>
              </w:rPr>
              <w:t>. Wyniki tych prac</w:t>
            </w:r>
            <w:r w:rsidR="00EA372A">
              <w:rPr>
                <w:rFonts w:ascii="Times New Roman" w:hAnsi="Times New Roman"/>
                <w:bCs/>
              </w:rPr>
              <w:t xml:space="preserve"> będą mieć także pozytywny wpływ na realizację projektów OZE. </w:t>
            </w:r>
            <w:r w:rsidR="00B8380F">
              <w:rPr>
                <w:rFonts w:ascii="Times New Roman" w:hAnsi="Times New Roman"/>
                <w:bCs/>
                <w:color w:val="000000"/>
              </w:rPr>
              <w:t xml:space="preserve">Modyfikacja planistycznej, a więc społeczno-politycznej fazy </w:t>
            </w:r>
            <w:r w:rsidR="00B8380F" w:rsidRPr="002D7FC1">
              <w:rPr>
                <w:rFonts w:ascii="Times New Roman" w:hAnsi="Times New Roman"/>
                <w:bCs/>
                <w:color w:val="000000"/>
              </w:rPr>
              <w:t xml:space="preserve">procedury </w:t>
            </w:r>
            <w:r w:rsidR="00B8380F">
              <w:rPr>
                <w:rFonts w:ascii="Times New Roman" w:hAnsi="Times New Roman"/>
                <w:bCs/>
                <w:color w:val="000000"/>
              </w:rPr>
              <w:t xml:space="preserve">administracyjnej </w:t>
            </w:r>
            <w:r w:rsidR="007E0751">
              <w:rPr>
                <w:rFonts w:ascii="Times New Roman" w:hAnsi="Times New Roman"/>
                <w:bCs/>
                <w:color w:val="000000"/>
              </w:rPr>
              <w:t xml:space="preserve">– </w:t>
            </w:r>
            <w:r w:rsidR="00B8380F" w:rsidRPr="002D7FC1">
              <w:rPr>
                <w:rFonts w:ascii="Times New Roman" w:hAnsi="Times New Roman"/>
                <w:bCs/>
                <w:color w:val="000000"/>
              </w:rPr>
              <w:t xml:space="preserve">zmiany studium lub MPZP </w:t>
            </w:r>
            <w:r w:rsidR="007E0751">
              <w:rPr>
                <w:rFonts w:ascii="Times New Roman" w:hAnsi="Times New Roman"/>
                <w:bCs/>
                <w:color w:val="000000"/>
              </w:rPr>
              <w:t xml:space="preserve">– </w:t>
            </w:r>
            <w:r w:rsidR="00B8380F" w:rsidRPr="002D7FC1">
              <w:rPr>
                <w:rFonts w:ascii="Times New Roman" w:hAnsi="Times New Roman"/>
                <w:bCs/>
                <w:color w:val="000000"/>
              </w:rPr>
              <w:t xml:space="preserve">jest tym istotniejsza, że wypis i </w:t>
            </w:r>
            <w:proofErr w:type="spellStart"/>
            <w:r w:rsidR="00B8380F" w:rsidRPr="002D7FC1">
              <w:rPr>
                <w:rFonts w:ascii="Times New Roman" w:hAnsi="Times New Roman"/>
                <w:bCs/>
                <w:color w:val="000000"/>
              </w:rPr>
              <w:t>wyrys</w:t>
            </w:r>
            <w:proofErr w:type="spellEnd"/>
            <w:r w:rsidR="00B8380F" w:rsidRPr="002D7FC1">
              <w:rPr>
                <w:rFonts w:ascii="Times New Roman" w:hAnsi="Times New Roman"/>
                <w:bCs/>
                <w:color w:val="000000"/>
              </w:rPr>
              <w:t xml:space="preserve"> z MPZP potwierdzający możliwość lokalizacji instalacji OZE w danej lokalizacji jest </w:t>
            </w:r>
            <w:r w:rsidR="007E0751">
              <w:rPr>
                <w:rFonts w:ascii="Times New Roman" w:hAnsi="Times New Roman"/>
                <w:bCs/>
                <w:color w:val="000000"/>
              </w:rPr>
              <w:t xml:space="preserve">obecnie </w:t>
            </w:r>
            <w:r w:rsidR="00B8380F" w:rsidRPr="002D7FC1">
              <w:rPr>
                <w:rFonts w:ascii="Times New Roman" w:hAnsi="Times New Roman"/>
                <w:bCs/>
                <w:color w:val="000000"/>
              </w:rPr>
              <w:t>elementem niezbędnym dla uzyskania warunków przyłączenia i podpisania umowy o przyłączeni</w:t>
            </w:r>
            <w:r w:rsidR="00C22E41">
              <w:rPr>
                <w:rFonts w:ascii="Times New Roman" w:hAnsi="Times New Roman"/>
                <w:bCs/>
                <w:color w:val="000000"/>
              </w:rPr>
              <w:t>e</w:t>
            </w:r>
            <w:r w:rsidR="00B8380F" w:rsidRPr="002D7FC1">
              <w:rPr>
                <w:rFonts w:ascii="Times New Roman" w:hAnsi="Times New Roman"/>
                <w:bCs/>
                <w:color w:val="000000"/>
              </w:rPr>
              <w:t xml:space="preserve">. </w:t>
            </w:r>
          </w:p>
          <w:p w14:paraId="62A178BC" w14:textId="2532CF19" w:rsidR="002D7FC1" w:rsidRPr="00AC3F07" w:rsidRDefault="002D7FC1">
            <w:pPr>
              <w:spacing w:line="240" w:lineRule="auto"/>
              <w:jc w:val="both"/>
              <w:rPr>
                <w:rFonts w:ascii="Times New Roman" w:hAnsi="Times New Roman"/>
                <w:b/>
                <w:color w:val="000000"/>
              </w:rPr>
            </w:pPr>
            <w:r w:rsidRPr="00AC3F07">
              <w:rPr>
                <w:rFonts w:ascii="Times New Roman" w:hAnsi="Times New Roman"/>
                <w:b/>
                <w:color w:val="000000"/>
              </w:rPr>
              <w:t>Prawo budowlane</w:t>
            </w:r>
          </w:p>
          <w:p w14:paraId="72F0ECD8" w14:textId="1B9AD123" w:rsidR="000D707B" w:rsidRDefault="000D707B" w:rsidP="000D3F79">
            <w:pPr>
              <w:spacing w:after="120" w:line="240" w:lineRule="auto"/>
              <w:jc w:val="both"/>
              <w:rPr>
                <w:rFonts w:ascii="Times New Roman" w:hAnsi="Times New Roman"/>
                <w:color w:val="000000"/>
              </w:rPr>
            </w:pPr>
            <w:r w:rsidRPr="002D7FC1">
              <w:rPr>
                <w:rFonts w:ascii="Times New Roman" w:hAnsi="Times New Roman"/>
                <w:color w:val="000000"/>
              </w:rPr>
              <w:t xml:space="preserve">Zgodnie </w:t>
            </w:r>
            <w:r w:rsidR="000F6D86">
              <w:rPr>
                <w:rFonts w:ascii="Times New Roman" w:hAnsi="Times New Roman"/>
                <w:color w:val="000000"/>
              </w:rPr>
              <w:t xml:space="preserve">przepisami prawa budowlanego </w:t>
            </w:r>
            <w:r w:rsidRPr="002D7FC1">
              <w:rPr>
                <w:rFonts w:ascii="Times New Roman" w:hAnsi="Times New Roman"/>
                <w:color w:val="000000"/>
              </w:rPr>
              <w:t>roboty budowlane polegające na instalowaniu urządzeń fotowoltaicznych o mocy zainstalowanej elektrycznej większej niż 50 kW wymagają decyzji o pozwoleniu na budowę. Granicą mocy zainstalowanej wymaganą przed RED</w:t>
            </w:r>
            <w:r w:rsidR="00A028A6">
              <w:rPr>
                <w:rFonts w:ascii="Times New Roman" w:hAnsi="Times New Roman"/>
                <w:color w:val="000000"/>
              </w:rPr>
              <w:t xml:space="preserve"> </w:t>
            </w:r>
            <w:r w:rsidRPr="002D7FC1">
              <w:rPr>
                <w:rFonts w:ascii="Times New Roman" w:hAnsi="Times New Roman"/>
                <w:color w:val="000000"/>
              </w:rPr>
              <w:t xml:space="preserve">II dla jak najszybszego procedowana jest wartość 150kW. </w:t>
            </w:r>
            <w:r>
              <w:rPr>
                <w:rFonts w:ascii="Times New Roman" w:hAnsi="Times New Roman"/>
                <w:color w:val="000000"/>
              </w:rPr>
              <w:t xml:space="preserve">Proponuje się </w:t>
            </w:r>
            <w:r w:rsidR="004E7624">
              <w:rPr>
                <w:rFonts w:ascii="Times New Roman" w:hAnsi="Times New Roman"/>
                <w:color w:val="000000"/>
              </w:rPr>
              <w:t xml:space="preserve">zatem </w:t>
            </w:r>
            <w:r>
              <w:rPr>
                <w:rFonts w:ascii="Times New Roman" w:hAnsi="Times New Roman"/>
                <w:color w:val="000000"/>
              </w:rPr>
              <w:t xml:space="preserve">podniesienie </w:t>
            </w:r>
            <w:r w:rsidR="004E7624">
              <w:rPr>
                <w:rFonts w:ascii="Times New Roman" w:hAnsi="Times New Roman"/>
                <w:color w:val="000000"/>
              </w:rPr>
              <w:t xml:space="preserve">przedmiotowego </w:t>
            </w:r>
            <w:r>
              <w:rPr>
                <w:rFonts w:ascii="Times New Roman" w:hAnsi="Times New Roman"/>
                <w:color w:val="000000"/>
              </w:rPr>
              <w:t>limitu do granicy 150 kW mocy.</w:t>
            </w:r>
          </w:p>
          <w:p w14:paraId="2573E937" w14:textId="2170EB51" w:rsidR="002B6A15" w:rsidRPr="002B6A15" w:rsidRDefault="002B6A15" w:rsidP="00461A1C">
            <w:pPr>
              <w:spacing w:after="120" w:line="240" w:lineRule="auto"/>
              <w:jc w:val="both"/>
              <w:rPr>
                <w:rFonts w:ascii="Times New Roman" w:hAnsi="Times New Roman"/>
                <w:b/>
                <w:color w:val="000000"/>
              </w:rPr>
            </w:pPr>
            <w:r w:rsidRPr="002B6A15">
              <w:rPr>
                <w:rFonts w:ascii="Times New Roman" w:hAnsi="Times New Roman"/>
                <w:b/>
                <w:color w:val="000000"/>
              </w:rPr>
              <w:t>Umowa sprzedaży energii elektrycznej z odnawialnego źródła energii - PPA</w:t>
            </w:r>
          </w:p>
          <w:p w14:paraId="04004484" w14:textId="100ABD81" w:rsidR="002B6A15" w:rsidRPr="002B6A15" w:rsidRDefault="002B6A15" w:rsidP="002B6A15">
            <w:pPr>
              <w:spacing w:after="120" w:line="240" w:lineRule="auto"/>
              <w:jc w:val="both"/>
              <w:rPr>
                <w:rFonts w:ascii="Times New Roman" w:hAnsi="Times New Roman"/>
                <w:bCs/>
              </w:rPr>
            </w:pPr>
            <w:r w:rsidRPr="002B6A15">
              <w:rPr>
                <w:rFonts w:ascii="Times New Roman" w:hAnsi="Times New Roman"/>
                <w:bCs/>
              </w:rPr>
              <w:t xml:space="preserve">Trwająca transformacja energetyczna w Unii Europejskiej zwiększyła popyt na energię elektryczną, wytwarzaną z OZE. Między innymi z tego powodu od pewnego czasu na rynkach </w:t>
            </w:r>
            <w:r>
              <w:rPr>
                <w:rFonts w:ascii="Times New Roman" w:hAnsi="Times New Roman"/>
                <w:bCs/>
              </w:rPr>
              <w:t xml:space="preserve">energii </w:t>
            </w:r>
            <w:r w:rsidRPr="002B6A15">
              <w:rPr>
                <w:rFonts w:ascii="Times New Roman" w:hAnsi="Times New Roman"/>
                <w:bCs/>
              </w:rPr>
              <w:t xml:space="preserve">popularność zyskują umowy sprzedaży energii elektrycznej wytworzonej z odnawialnego źródła energii określane jako tzw. umowy PPA. </w:t>
            </w:r>
          </w:p>
          <w:p w14:paraId="19513760" w14:textId="0714BA1C" w:rsidR="002B6A15" w:rsidRPr="002B6A15" w:rsidRDefault="002B6A15" w:rsidP="002B6A15">
            <w:pPr>
              <w:spacing w:after="120" w:line="240" w:lineRule="auto"/>
              <w:jc w:val="both"/>
              <w:rPr>
                <w:rFonts w:ascii="Times New Roman" w:hAnsi="Times New Roman"/>
                <w:bCs/>
              </w:rPr>
            </w:pPr>
            <w:r w:rsidRPr="002B6A15">
              <w:rPr>
                <w:rFonts w:ascii="Times New Roman" w:hAnsi="Times New Roman"/>
                <w:bCs/>
              </w:rPr>
              <w:t>Istota umów PPA sprowadza się do możliwości nabycia tej energii przez nabywcę (odbiorcę końcowego) bezpośrednio od jej wytwórcy, co powinno się przysłużyć obniżeniu kosztów działalności gospodarczej odbiorcy końcowego. Kontrakty tego typu zawierane są na stosunkowo długi okres</w:t>
            </w:r>
            <w:r>
              <w:rPr>
                <w:rFonts w:ascii="Times New Roman" w:hAnsi="Times New Roman"/>
                <w:bCs/>
              </w:rPr>
              <w:t xml:space="preserve">, co </w:t>
            </w:r>
            <w:r w:rsidRPr="002B6A15">
              <w:rPr>
                <w:rFonts w:ascii="Times New Roman" w:hAnsi="Times New Roman"/>
                <w:bCs/>
              </w:rPr>
              <w:t>niesie za sobą stabilność dostaw w długiej perspektywie czasowej, w tym w godzinach największego jej zapotrzebowania oraz stałe ceny energii po stronie wytwórcy jak i odbiorcy – niezależnie od wahań rynkowych. Z punktu widzenia wytwórców energii z OZE</w:t>
            </w:r>
            <w:r w:rsidR="00300F2E">
              <w:rPr>
                <w:rFonts w:ascii="Times New Roman" w:hAnsi="Times New Roman"/>
                <w:bCs/>
              </w:rPr>
              <w:t>,</w:t>
            </w:r>
            <w:r w:rsidRPr="002B6A15">
              <w:rPr>
                <w:rFonts w:ascii="Times New Roman" w:hAnsi="Times New Roman"/>
                <w:bCs/>
              </w:rPr>
              <w:t xml:space="preserve"> korzyścią płynącą z zawarcia takich kontraktów PPA jest długotrwałe zabezpieczenie odbioru energii, co ma wpływ na stabilność prowadzenia biznesu. Z kolei stałe dochody wytwórców energii z OZE w długim okresie czasu przekładają się na zainteresowanie banków finansowaniem inwestycji w odnawialne źródła energii. Dla części odbiorców zasadniczym czynnikiem przesądzającym o zawarciu tego typu umów jest troska o wizerunek firmy jako tej, która przyczynia się do zmniejszenia emisji dwutlenku węgla.</w:t>
            </w:r>
          </w:p>
          <w:p w14:paraId="5BC612EC" w14:textId="16FEF97F" w:rsidR="002B6A15" w:rsidRDefault="002B6A15" w:rsidP="002B6A15">
            <w:pPr>
              <w:spacing w:after="120" w:line="240" w:lineRule="auto"/>
              <w:jc w:val="both"/>
              <w:rPr>
                <w:rFonts w:ascii="Times New Roman" w:hAnsi="Times New Roman"/>
                <w:bCs/>
              </w:rPr>
            </w:pPr>
            <w:r w:rsidRPr="002B6A15">
              <w:rPr>
                <w:rFonts w:ascii="Times New Roman" w:hAnsi="Times New Roman"/>
                <w:bCs/>
              </w:rPr>
              <w:t>Zgodnie z definicją zawartą w art. 2 pkt. 17 Dyrektywy 2018/2001</w:t>
            </w:r>
            <w:r w:rsidR="00300F2E">
              <w:rPr>
                <w:rFonts w:ascii="Times New Roman" w:hAnsi="Times New Roman"/>
                <w:bCs/>
              </w:rPr>
              <w:t>,</w:t>
            </w:r>
            <w:r w:rsidRPr="002B6A15">
              <w:rPr>
                <w:rFonts w:ascii="Times New Roman" w:hAnsi="Times New Roman"/>
                <w:bCs/>
              </w:rPr>
              <w:t xml:space="preserve"> umowa zakupu odnawialnej energii elektrycznej oznacza umowę, na podstawie której osoba fizyczna lub prawna zgadza się na zakup odnawialnej energii elektrycznej bezpośrednio od producenta energii elektrycznej.</w:t>
            </w:r>
          </w:p>
          <w:p w14:paraId="3996A988" w14:textId="1FD1FD07" w:rsidR="002B6A15" w:rsidRPr="002B6A15" w:rsidRDefault="002B6A15" w:rsidP="002B6A15">
            <w:pPr>
              <w:spacing w:after="120" w:line="240" w:lineRule="auto"/>
              <w:jc w:val="both"/>
              <w:rPr>
                <w:rFonts w:ascii="Times New Roman" w:hAnsi="Times New Roman"/>
                <w:bCs/>
              </w:rPr>
            </w:pPr>
            <w:r>
              <w:rPr>
                <w:rFonts w:ascii="Times New Roman" w:hAnsi="Times New Roman"/>
                <w:bCs/>
              </w:rPr>
              <w:t>Celowym jest więc stworzenie ram prawnych dla rozwoju tego typu umów także na rynku polskim.</w:t>
            </w:r>
          </w:p>
          <w:p w14:paraId="4ACCE364" w14:textId="77777777" w:rsidR="00C466AA" w:rsidRDefault="00C466AA" w:rsidP="00C466AA">
            <w:pPr>
              <w:spacing w:after="120" w:line="240" w:lineRule="auto"/>
              <w:jc w:val="both"/>
              <w:rPr>
                <w:rFonts w:ascii="Times New Roman" w:hAnsi="Times New Roman"/>
                <w:bCs/>
                <w:color w:val="000000"/>
              </w:rPr>
            </w:pPr>
            <w:r>
              <w:rPr>
                <w:rFonts w:ascii="Times New Roman" w:hAnsi="Times New Roman"/>
                <w:bCs/>
                <w:color w:val="000000"/>
              </w:rPr>
              <w:t xml:space="preserve">Projekt zakłada także wprowadzenie innych zmian doprecyzowujących lub usprawniających realizację i funkcjonowanie instalacji odnawialnego źródła energii. </w:t>
            </w:r>
          </w:p>
          <w:p w14:paraId="24A631E4" w14:textId="239E6F3D" w:rsidR="00B93863" w:rsidRDefault="0040388B" w:rsidP="000D3F79">
            <w:pPr>
              <w:spacing w:after="120" w:line="240" w:lineRule="auto"/>
              <w:jc w:val="both"/>
              <w:rPr>
                <w:rFonts w:ascii="Times New Roman" w:hAnsi="Times New Roman"/>
                <w:b/>
                <w:color w:val="000000"/>
                <w:spacing w:val="-2"/>
                <w:u w:val="single"/>
              </w:rPr>
            </w:pPr>
            <w:r w:rsidRPr="00E226DF">
              <w:rPr>
                <w:rFonts w:ascii="Times New Roman" w:hAnsi="Times New Roman"/>
                <w:b/>
                <w:color w:val="000000"/>
                <w:spacing w:val="-2"/>
                <w:u w:val="single"/>
              </w:rPr>
              <w:t xml:space="preserve">III.5. </w:t>
            </w:r>
            <w:r w:rsidR="00494D72">
              <w:rPr>
                <w:rFonts w:ascii="Times New Roman" w:hAnsi="Times New Roman"/>
                <w:b/>
                <w:color w:val="000000"/>
                <w:spacing w:val="-2"/>
                <w:u w:val="single"/>
              </w:rPr>
              <w:t>Partnerski handel (</w:t>
            </w:r>
            <w:proofErr w:type="spellStart"/>
            <w:r w:rsidR="00494D72">
              <w:rPr>
                <w:rFonts w:ascii="Times New Roman" w:hAnsi="Times New Roman"/>
                <w:b/>
                <w:color w:val="000000"/>
                <w:spacing w:val="-2"/>
                <w:u w:val="single"/>
              </w:rPr>
              <w:t>p</w:t>
            </w:r>
            <w:r w:rsidR="00BB5E5D">
              <w:rPr>
                <w:rFonts w:ascii="Times New Roman" w:hAnsi="Times New Roman"/>
                <w:b/>
                <w:color w:val="000000"/>
                <w:spacing w:val="-2"/>
                <w:u w:val="single"/>
              </w:rPr>
              <w:t>eer</w:t>
            </w:r>
            <w:proofErr w:type="spellEnd"/>
            <w:r w:rsidR="00BB5E5D">
              <w:rPr>
                <w:rFonts w:ascii="Times New Roman" w:hAnsi="Times New Roman"/>
                <w:b/>
                <w:color w:val="000000"/>
                <w:spacing w:val="-2"/>
                <w:u w:val="single"/>
              </w:rPr>
              <w:t>-to-</w:t>
            </w:r>
            <w:proofErr w:type="spellStart"/>
            <w:r w:rsidR="00BB5E5D">
              <w:rPr>
                <w:rFonts w:ascii="Times New Roman" w:hAnsi="Times New Roman"/>
                <w:b/>
                <w:color w:val="000000"/>
                <w:spacing w:val="-2"/>
                <w:u w:val="single"/>
              </w:rPr>
              <w:t>peer</w:t>
            </w:r>
            <w:proofErr w:type="spellEnd"/>
            <w:r w:rsidR="00494D72">
              <w:rPr>
                <w:rFonts w:ascii="Times New Roman" w:hAnsi="Times New Roman"/>
                <w:b/>
                <w:color w:val="000000"/>
                <w:spacing w:val="-2"/>
                <w:u w:val="single"/>
              </w:rPr>
              <w:t>)</w:t>
            </w:r>
            <w:r w:rsidR="00E226DF">
              <w:rPr>
                <w:rFonts w:ascii="Times New Roman" w:hAnsi="Times New Roman"/>
                <w:b/>
                <w:color w:val="000000"/>
                <w:spacing w:val="-2"/>
                <w:u w:val="single"/>
              </w:rPr>
              <w:t xml:space="preserve"> – </w:t>
            </w:r>
            <w:r w:rsidR="00B93863" w:rsidRPr="00E226DF">
              <w:rPr>
                <w:rFonts w:ascii="Times New Roman" w:hAnsi="Times New Roman"/>
                <w:b/>
                <w:color w:val="000000"/>
                <w:spacing w:val="-2"/>
                <w:u w:val="single"/>
              </w:rPr>
              <w:t>przez prosumenta</w:t>
            </w:r>
          </w:p>
          <w:p w14:paraId="439D42D5" w14:textId="2840F511" w:rsidR="0028153B" w:rsidRPr="0028153B" w:rsidRDefault="0028153B" w:rsidP="000D3F79">
            <w:pPr>
              <w:spacing w:after="120" w:line="240" w:lineRule="auto"/>
              <w:jc w:val="both"/>
              <w:rPr>
                <w:rFonts w:ascii="Times New Roman" w:hAnsi="Times New Roman"/>
                <w:color w:val="000000"/>
                <w:spacing w:val="-2"/>
              </w:rPr>
            </w:pPr>
            <w:r w:rsidRPr="0028153B">
              <w:rPr>
                <w:rFonts w:ascii="Times New Roman" w:hAnsi="Times New Roman"/>
                <w:color w:val="000000"/>
                <w:spacing w:val="-2"/>
              </w:rPr>
              <w:t xml:space="preserve">Proponuje się wprowadzenie możliwości partnerskiego handlu energią </w:t>
            </w:r>
            <w:proofErr w:type="spellStart"/>
            <w:r w:rsidRPr="0028153B">
              <w:rPr>
                <w:rFonts w:ascii="Times New Roman" w:hAnsi="Times New Roman"/>
                <w:color w:val="000000"/>
                <w:spacing w:val="-2"/>
              </w:rPr>
              <w:t>peer</w:t>
            </w:r>
            <w:proofErr w:type="spellEnd"/>
            <w:r w:rsidRPr="0028153B">
              <w:rPr>
                <w:rFonts w:ascii="Times New Roman" w:hAnsi="Times New Roman"/>
                <w:color w:val="000000"/>
                <w:spacing w:val="-2"/>
              </w:rPr>
              <w:t>-to-</w:t>
            </w:r>
            <w:proofErr w:type="spellStart"/>
            <w:r w:rsidRPr="0028153B">
              <w:rPr>
                <w:rFonts w:ascii="Times New Roman" w:hAnsi="Times New Roman"/>
                <w:color w:val="000000"/>
                <w:spacing w:val="-2"/>
              </w:rPr>
              <w:t>peer</w:t>
            </w:r>
            <w:proofErr w:type="spellEnd"/>
            <w:r w:rsidRPr="0028153B">
              <w:rPr>
                <w:rFonts w:ascii="Times New Roman" w:hAnsi="Times New Roman"/>
                <w:color w:val="000000"/>
                <w:spacing w:val="-2"/>
              </w:rPr>
              <w:t>, który umożliwi przekazywanie energii nieskonsumowanej przez prosumenta do drugiego podmiotu w celu pokrycia jego zapotrzebowania na energię w sposób bezpośredni za sprawą określonych technologii informatycznych lub na podstawie rozwiązań bazujących na włączeniu „pośrednika”, zapewniającego cyfrowe połączenia wzajemne niezbędne do umożliwienia wymiany tejże energii.</w:t>
            </w:r>
          </w:p>
          <w:p w14:paraId="31034343" w14:textId="445D1C4E" w:rsidR="00FB7C95" w:rsidRPr="00A70E4B" w:rsidRDefault="00E226DF" w:rsidP="00A70E4B">
            <w:pPr>
              <w:spacing w:line="240" w:lineRule="auto"/>
              <w:contextualSpacing/>
              <w:jc w:val="both"/>
              <w:rPr>
                <w:rFonts w:ascii="Times New Roman" w:hAnsi="Times New Roman"/>
                <w:u w:val="single"/>
              </w:rPr>
            </w:pPr>
            <w:r>
              <w:rPr>
                <w:rFonts w:ascii="Times New Roman" w:hAnsi="Times New Roman"/>
                <w:b/>
                <w:bCs/>
                <w:u w:val="single"/>
              </w:rPr>
              <w:t xml:space="preserve">IV. </w:t>
            </w:r>
            <w:r w:rsidR="003F1901" w:rsidRPr="003F1901">
              <w:rPr>
                <w:rFonts w:ascii="Times New Roman" w:hAnsi="Times New Roman"/>
                <w:b/>
                <w:bCs/>
                <w:u w:val="single"/>
              </w:rPr>
              <w:t>System wsparcia umożliwiający modernizację instalacji OZE</w:t>
            </w:r>
            <w:r w:rsidR="00EF0FD5">
              <w:rPr>
                <w:rFonts w:ascii="Times New Roman" w:hAnsi="Times New Roman"/>
                <w:b/>
                <w:bCs/>
                <w:u w:val="single"/>
              </w:rPr>
              <w:t xml:space="preserve"> -</w:t>
            </w:r>
            <w:r>
              <w:rPr>
                <w:rFonts w:ascii="Times New Roman" w:hAnsi="Times New Roman"/>
                <w:b/>
                <w:bCs/>
                <w:u w:val="single"/>
              </w:rPr>
              <w:t xml:space="preserve"> </w:t>
            </w:r>
            <w:r w:rsidR="009F7669">
              <w:rPr>
                <w:rFonts w:ascii="Times New Roman" w:hAnsi="Times New Roman"/>
                <w:u w:val="single"/>
              </w:rPr>
              <w:t>Z</w:t>
            </w:r>
            <w:r w:rsidR="00FB7C95" w:rsidRPr="00A70E4B">
              <w:rPr>
                <w:rFonts w:ascii="Times New Roman" w:hAnsi="Times New Roman"/>
                <w:u w:val="single"/>
              </w:rPr>
              <w:t xml:space="preserve">ałożenia systemu </w:t>
            </w:r>
          </w:p>
          <w:p w14:paraId="57992973" w14:textId="582C7BBF" w:rsidR="00EA407F"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System wsparcia modernizacji</w:t>
            </w:r>
            <w:r>
              <w:rPr>
                <w:rFonts w:ascii="Times New Roman" w:hAnsi="Times New Roman"/>
              </w:rPr>
              <w:t xml:space="preserve"> ma</w:t>
            </w:r>
            <w:r w:rsidRPr="00A70E4B">
              <w:rPr>
                <w:rFonts w:ascii="Times New Roman" w:hAnsi="Times New Roman"/>
              </w:rPr>
              <w:t xml:space="preserve"> zastosowanie do instalacji OZE, których wiek przekracza 15 lat. Dla uproszczenia identyfikacji uprawnionych instalacji wsparcie </w:t>
            </w:r>
            <w:r>
              <w:rPr>
                <w:rFonts w:ascii="Times New Roman" w:hAnsi="Times New Roman"/>
              </w:rPr>
              <w:t>jest</w:t>
            </w:r>
            <w:r w:rsidRPr="00A70E4B">
              <w:rPr>
                <w:rFonts w:ascii="Times New Roman" w:hAnsi="Times New Roman"/>
              </w:rPr>
              <w:t xml:space="preserve"> adresowane do instalacji OZE po zakończeniu pierwotnego 15-letniego okresu wsparcia (w systemie </w:t>
            </w:r>
            <w:r w:rsidR="004F3AB4">
              <w:rPr>
                <w:rFonts w:ascii="Times New Roman" w:hAnsi="Times New Roman"/>
              </w:rPr>
              <w:t>świadectw pochodzenia</w:t>
            </w:r>
            <w:r w:rsidRPr="00A70E4B">
              <w:rPr>
                <w:rFonts w:ascii="Times New Roman" w:hAnsi="Times New Roman"/>
              </w:rPr>
              <w:t xml:space="preserve"> lub aukcyjnym lub FIT/FIP)</w:t>
            </w:r>
            <w:r w:rsidR="00EA407F">
              <w:rPr>
                <w:rFonts w:ascii="Times New Roman" w:hAnsi="Times New Roman"/>
              </w:rPr>
              <w:t>.</w:t>
            </w:r>
            <w:r w:rsidRPr="00A70E4B">
              <w:rPr>
                <w:rFonts w:ascii="Times New Roman" w:hAnsi="Times New Roman"/>
              </w:rPr>
              <w:t xml:space="preserve"> </w:t>
            </w:r>
          </w:p>
          <w:p w14:paraId="65383BC7" w14:textId="06E3434A" w:rsidR="00FB7C95" w:rsidRPr="00A70E4B" w:rsidRDefault="00EA407F" w:rsidP="005337BC">
            <w:pPr>
              <w:numPr>
                <w:ilvl w:val="0"/>
                <w:numId w:val="131"/>
              </w:numPr>
              <w:spacing w:line="240" w:lineRule="auto"/>
              <w:contextualSpacing/>
              <w:jc w:val="both"/>
              <w:rPr>
                <w:rFonts w:ascii="Times New Roman" w:hAnsi="Times New Roman"/>
              </w:rPr>
            </w:pPr>
            <w:r>
              <w:rPr>
                <w:rFonts w:ascii="Times New Roman" w:hAnsi="Times New Roman"/>
              </w:rPr>
              <w:t>P</w:t>
            </w:r>
            <w:r w:rsidR="00FB7C95" w:rsidRPr="00A70E4B">
              <w:rPr>
                <w:rFonts w:ascii="Times New Roman" w:hAnsi="Times New Roman"/>
              </w:rPr>
              <w:t>rawo do nowego wsparcia powinno móc być przyznawane jeszcze przed upływem pierwotnego okresu wsparcia, tak aby umożliwić terminową realizację niezbędnych inwestycji wydłużających cykl życia instalacji.</w:t>
            </w:r>
          </w:p>
          <w:p w14:paraId="395A2459" w14:textId="438F0258" w:rsidR="00FB7C95" w:rsidRPr="00A70E4B"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 xml:space="preserve">Wsparcie dotyczy kosztów modernizacji </w:t>
            </w:r>
            <w:r w:rsidR="004070BB">
              <w:rPr>
                <w:rFonts w:ascii="Times New Roman" w:hAnsi="Times New Roman"/>
              </w:rPr>
              <w:t>nie mniejszych niż</w:t>
            </w:r>
            <w:r w:rsidRPr="00A70E4B">
              <w:rPr>
                <w:rFonts w:ascii="Times New Roman" w:hAnsi="Times New Roman"/>
              </w:rPr>
              <w:t xml:space="preserve"> 25% nakładów na nową </w:t>
            </w:r>
            <w:r w:rsidR="00FF3759">
              <w:rPr>
                <w:rFonts w:ascii="Times New Roman" w:hAnsi="Times New Roman"/>
              </w:rPr>
              <w:t xml:space="preserve">referencyjną </w:t>
            </w:r>
            <w:r w:rsidRPr="00A70E4B">
              <w:rPr>
                <w:rFonts w:ascii="Times New Roman" w:hAnsi="Times New Roman"/>
              </w:rPr>
              <w:t xml:space="preserve">instalację OZE, w celu wyeliminowania wspierania napraw i usprawnień o </w:t>
            </w:r>
            <w:r w:rsidR="00235F31">
              <w:rPr>
                <w:rFonts w:ascii="Times New Roman" w:hAnsi="Times New Roman"/>
              </w:rPr>
              <w:t>mniejszej wartości</w:t>
            </w:r>
            <w:r w:rsidRPr="00A70E4B">
              <w:rPr>
                <w:rFonts w:ascii="Times New Roman" w:hAnsi="Times New Roman"/>
              </w:rPr>
              <w:t>, które powinny być finansowane z przychodów z działalności instalacji</w:t>
            </w:r>
            <w:r w:rsidR="004070BB">
              <w:rPr>
                <w:rFonts w:ascii="Times New Roman" w:hAnsi="Times New Roman"/>
              </w:rPr>
              <w:t>, bądź wsparcia operacyjnego</w:t>
            </w:r>
            <w:r w:rsidRPr="00A70E4B">
              <w:rPr>
                <w:rFonts w:ascii="Times New Roman" w:hAnsi="Times New Roman"/>
              </w:rPr>
              <w:t>.</w:t>
            </w:r>
          </w:p>
          <w:p w14:paraId="5231491E" w14:textId="41347925" w:rsidR="00FB7C95" w:rsidRPr="00805B75" w:rsidRDefault="00FB7C95" w:rsidP="005337BC">
            <w:pPr>
              <w:numPr>
                <w:ilvl w:val="0"/>
                <w:numId w:val="131"/>
              </w:numPr>
              <w:spacing w:line="240" w:lineRule="auto"/>
              <w:contextualSpacing/>
              <w:jc w:val="both"/>
              <w:rPr>
                <w:rFonts w:ascii="Times New Roman" w:hAnsi="Times New Roman"/>
              </w:rPr>
            </w:pPr>
            <w:r w:rsidRPr="00A70E4B">
              <w:rPr>
                <w:rFonts w:ascii="Times New Roman" w:hAnsi="Times New Roman"/>
              </w:rPr>
              <w:t>Podjęcie decyzji inwestycyjnej (rozpoczęcie prac)</w:t>
            </w:r>
            <w:r w:rsidR="00F03FD7">
              <w:rPr>
                <w:rFonts w:ascii="Times New Roman" w:hAnsi="Times New Roman"/>
              </w:rPr>
              <w:t xml:space="preserve"> </w:t>
            </w:r>
            <w:r w:rsidRPr="00805B75">
              <w:rPr>
                <w:rFonts w:ascii="Times New Roman" w:hAnsi="Times New Roman"/>
              </w:rPr>
              <w:t>powinno nastąpić po złożeniu wniosku</w:t>
            </w:r>
            <w:r w:rsidR="00235F31">
              <w:rPr>
                <w:rFonts w:ascii="Times New Roman" w:hAnsi="Times New Roman"/>
              </w:rPr>
              <w:t>/deklaracji</w:t>
            </w:r>
            <w:r w:rsidRPr="00805B75">
              <w:rPr>
                <w:rFonts w:ascii="Times New Roman" w:hAnsi="Times New Roman"/>
              </w:rPr>
              <w:t xml:space="preserve"> o udzielenie wsparcia / </w:t>
            </w:r>
            <w:r w:rsidR="00235F31">
              <w:rPr>
                <w:rFonts w:ascii="Times New Roman" w:hAnsi="Times New Roman"/>
              </w:rPr>
              <w:t>przystąpieni</w:t>
            </w:r>
            <w:r w:rsidR="003751D2">
              <w:rPr>
                <w:rFonts w:ascii="Times New Roman" w:hAnsi="Times New Roman"/>
              </w:rPr>
              <w:t>a</w:t>
            </w:r>
            <w:r w:rsidR="00235F31">
              <w:rPr>
                <w:rFonts w:ascii="Times New Roman" w:hAnsi="Times New Roman"/>
              </w:rPr>
              <w:t xml:space="preserve"> do </w:t>
            </w:r>
            <w:r w:rsidRPr="00805B75">
              <w:rPr>
                <w:rFonts w:ascii="Times New Roman" w:hAnsi="Times New Roman"/>
              </w:rPr>
              <w:t>systemu.</w:t>
            </w:r>
            <w:r w:rsidR="004070BB">
              <w:rPr>
                <w:rFonts w:ascii="Times New Roman" w:hAnsi="Times New Roman"/>
              </w:rPr>
              <w:t xml:space="preserve"> </w:t>
            </w:r>
            <w:r w:rsidR="004070BB" w:rsidRPr="00805B75">
              <w:rPr>
                <w:rFonts w:ascii="Times New Roman" w:hAnsi="Times New Roman"/>
              </w:rPr>
              <w:t>Rozpoczęcie prac w rozumieniu przepisów o pomocy publicznej</w:t>
            </w:r>
            <w:r w:rsidR="004070BB">
              <w:rPr>
                <w:rFonts w:ascii="Times New Roman" w:hAnsi="Times New Roman"/>
              </w:rPr>
              <w:t xml:space="preserve"> to</w:t>
            </w:r>
            <w:r w:rsidR="004070BB" w:rsidRPr="00805B75">
              <w:rPr>
                <w:rFonts w:ascii="Times New Roman" w:hAnsi="Times New Roman"/>
              </w:rPr>
              <w:t xml:space="preserve"> rozpoczęcie robót budowalnych związanych z inwestycją, pierwsze prawnie wiążące zobowiązanie do zamówienia urządzeń lub inne zobowiązanie, które sprawia, </w:t>
            </w:r>
            <w:r w:rsidR="00897791" w:rsidRPr="00805B75">
              <w:rPr>
                <w:rFonts w:ascii="Times New Roman" w:hAnsi="Times New Roman"/>
              </w:rPr>
              <w:t>że</w:t>
            </w:r>
            <w:r w:rsidR="004070BB" w:rsidRPr="00805B75">
              <w:rPr>
                <w:rFonts w:ascii="Times New Roman" w:hAnsi="Times New Roman"/>
              </w:rPr>
              <w:t xml:space="preserve"> inwestycja staje się nieodwracalna</w:t>
            </w:r>
            <w:r w:rsidR="003751D2">
              <w:rPr>
                <w:rFonts w:ascii="Times New Roman" w:hAnsi="Times New Roman"/>
              </w:rPr>
              <w:t xml:space="preserve"> -</w:t>
            </w:r>
            <w:r w:rsidR="004070BB" w:rsidRPr="00805B75">
              <w:rPr>
                <w:rFonts w:ascii="Times New Roman" w:hAnsi="Times New Roman"/>
              </w:rPr>
              <w:t xml:space="preserve"> zależnie od tego, co nastąpi </w:t>
            </w:r>
            <w:r w:rsidR="002E6DAC">
              <w:rPr>
                <w:rFonts w:ascii="Times New Roman" w:hAnsi="Times New Roman"/>
              </w:rPr>
              <w:t>wcześniej</w:t>
            </w:r>
            <w:r w:rsidR="004070BB">
              <w:rPr>
                <w:rFonts w:ascii="Times New Roman" w:hAnsi="Times New Roman"/>
              </w:rPr>
              <w:t>.</w:t>
            </w:r>
          </w:p>
          <w:p w14:paraId="47CED51F" w14:textId="15186A65" w:rsidR="00FB7C95" w:rsidRDefault="00FB7C95" w:rsidP="005337BC">
            <w:pPr>
              <w:numPr>
                <w:ilvl w:val="0"/>
                <w:numId w:val="131"/>
              </w:numPr>
              <w:spacing w:line="240" w:lineRule="auto"/>
              <w:contextualSpacing/>
              <w:jc w:val="both"/>
              <w:rPr>
                <w:rFonts w:ascii="Times New Roman" w:hAnsi="Times New Roman"/>
              </w:rPr>
            </w:pPr>
            <w:r w:rsidRPr="00805B75">
              <w:rPr>
                <w:rFonts w:ascii="Times New Roman" w:hAnsi="Times New Roman"/>
              </w:rPr>
              <w:t xml:space="preserve">Modernizowane instalacje OZE </w:t>
            </w:r>
            <w:r w:rsidR="00235F31">
              <w:rPr>
                <w:rFonts w:ascii="Times New Roman" w:hAnsi="Times New Roman"/>
              </w:rPr>
              <w:t>będą</w:t>
            </w:r>
            <w:r w:rsidRPr="00805B75">
              <w:rPr>
                <w:rFonts w:ascii="Times New Roman" w:hAnsi="Times New Roman"/>
              </w:rPr>
              <w:t xml:space="preserve"> konkurować o wsparcie z instalacjami nowymi (m.in.</w:t>
            </w:r>
            <w:r w:rsidR="004070BB">
              <w:rPr>
                <w:rFonts w:ascii="Times New Roman" w:hAnsi="Times New Roman"/>
              </w:rPr>
              <w:t xml:space="preserve"> uczestniczyć</w:t>
            </w:r>
            <w:r w:rsidRPr="00805B75">
              <w:rPr>
                <w:rFonts w:ascii="Times New Roman" w:hAnsi="Times New Roman"/>
              </w:rPr>
              <w:t xml:space="preserve"> w tym samym koszyku aukcyjnym). Pozwoli to na </w:t>
            </w:r>
            <w:r w:rsidR="00494D72">
              <w:rPr>
                <w:rFonts w:ascii="Times New Roman" w:hAnsi="Times New Roman"/>
              </w:rPr>
              <w:t>zapewnienie odpowiedniej podaży projektów w wybranych koszykach</w:t>
            </w:r>
            <w:r w:rsidR="002E6DAC">
              <w:rPr>
                <w:rFonts w:ascii="Times New Roman" w:hAnsi="Times New Roman"/>
              </w:rPr>
              <w:t>,</w:t>
            </w:r>
            <w:r w:rsidR="00494D72">
              <w:rPr>
                <w:rFonts w:ascii="Times New Roman" w:hAnsi="Times New Roman"/>
              </w:rPr>
              <w:t xml:space="preserve"> a tym samym skuteczne rozstrzyganie ogłoszonych aukcji.</w:t>
            </w:r>
          </w:p>
          <w:p w14:paraId="3440D42A" w14:textId="756422FA" w:rsidR="00235F31" w:rsidRPr="00593EEC" w:rsidRDefault="00235F31" w:rsidP="00593EEC">
            <w:pPr>
              <w:numPr>
                <w:ilvl w:val="0"/>
                <w:numId w:val="131"/>
              </w:numPr>
              <w:spacing w:line="240" w:lineRule="auto"/>
              <w:contextualSpacing/>
              <w:jc w:val="both"/>
              <w:rPr>
                <w:rFonts w:ascii="Times New Roman" w:hAnsi="Times New Roman"/>
              </w:rPr>
            </w:pPr>
            <w:r w:rsidRPr="00235F31">
              <w:rPr>
                <w:rFonts w:ascii="Times New Roman" w:hAnsi="Times New Roman"/>
              </w:rPr>
              <w:t>System wsparcia modernizacji obejm</w:t>
            </w:r>
            <w:r>
              <w:rPr>
                <w:rFonts w:ascii="Times New Roman" w:hAnsi="Times New Roman"/>
              </w:rPr>
              <w:t>uje</w:t>
            </w:r>
            <w:r w:rsidRPr="00235F31">
              <w:rPr>
                <w:rFonts w:ascii="Times New Roman" w:hAnsi="Times New Roman"/>
              </w:rPr>
              <w:t xml:space="preserve"> inwestycje wpływające na poprawę produkcyjnych parametrów instalacji, dotyczących wytwarzania energii z OZE, tj. modernizację.</w:t>
            </w:r>
            <w:r w:rsidR="00E3195D">
              <w:rPr>
                <w:rFonts w:ascii="Times New Roman" w:hAnsi="Times New Roman"/>
              </w:rPr>
              <w:t xml:space="preserve"> </w:t>
            </w:r>
          </w:p>
          <w:p w14:paraId="36181265" w14:textId="1FFAFD34" w:rsidR="00235F31" w:rsidRDefault="00235F31" w:rsidP="001551A5">
            <w:pPr>
              <w:numPr>
                <w:ilvl w:val="0"/>
                <w:numId w:val="131"/>
              </w:numPr>
              <w:spacing w:after="120" w:line="240" w:lineRule="auto"/>
              <w:contextualSpacing/>
              <w:jc w:val="both"/>
              <w:rPr>
                <w:rFonts w:ascii="Times New Roman" w:hAnsi="Times New Roman"/>
              </w:rPr>
            </w:pPr>
            <w:r w:rsidRPr="00235F31">
              <w:rPr>
                <w:rFonts w:ascii="Times New Roman" w:hAnsi="Times New Roman"/>
              </w:rPr>
              <w:lastRenderedPageBreak/>
              <w:t xml:space="preserve">W celu zapewnienia spójności w zakresie funkcjonujących w Polsce systemów wsparcia podobnych inwestycji oraz usprawnienia procesu uzyskania zgody Komisji Europejskiej na wdrożenie proponowanego rozwiązania, system wsparcia modernizacji instalacji OZE </w:t>
            </w:r>
            <w:r>
              <w:rPr>
                <w:rFonts w:ascii="Times New Roman" w:hAnsi="Times New Roman"/>
              </w:rPr>
              <w:t>będzie wzorowan</w:t>
            </w:r>
            <w:r w:rsidR="00751B47">
              <w:rPr>
                <w:rFonts w:ascii="Times New Roman" w:hAnsi="Times New Roman"/>
              </w:rPr>
              <w:t>y</w:t>
            </w:r>
            <w:r w:rsidRPr="00235F31">
              <w:rPr>
                <w:rFonts w:ascii="Times New Roman" w:hAnsi="Times New Roman"/>
              </w:rPr>
              <w:t xml:space="preserve"> na zaakceptowanych przez Komisję Europejską</w:t>
            </w:r>
            <w:r w:rsidR="006B242A">
              <w:rPr>
                <w:rFonts w:ascii="Times New Roman" w:hAnsi="Times New Roman"/>
              </w:rPr>
              <w:t xml:space="preserve"> (</w:t>
            </w:r>
            <w:r w:rsidR="006B242A" w:rsidRPr="00805B75">
              <w:rPr>
                <w:rFonts w:ascii="Times New Roman" w:hAnsi="Times New Roman"/>
              </w:rPr>
              <w:t xml:space="preserve">Decyzja Komisji z dnia 15 kwietnia 2019 r. w sprawie SA.51192 (2019/N) – Poland – CHP </w:t>
            </w:r>
            <w:r w:rsidR="006B242A">
              <w:rPr>
                <w:rFonts w:ascii="Times New Roman" w:hAnsi="Times New Roman"/>
              </w:rPr>
              <w:t>suport)</w:t>
            </w:r>
            <w:r w:rsidRPr="00805B75">
              <w:rPr>
                <w:rFonts w:ascii="Times New Roman" w:hAnsi="Times New Roman"/>
              </w:rPr>
              <w:t xml:space="preserve"> </w:t>
            </w:r>
            <w:r w:rsidR="006B242A">
              <w:rPr>
                <w:rFonts w:ascii="Times New Roman" w:hAnsi="Times New Roman"/>
              </w:rPr>
              <w:t xml:space="preserve">na </w:t>
            </w:r>
            <w:r w:rsidRPr="00805B75">
              <w:rPr>
                <w:rFonts w:ascii="Times New Roman" w:hAnsi="Times New Roman"/>
              </w:rPr>
              <w:t>zasadach działania systemu wsparcia wysokosprawnej kogeneracji</w:t>
            </w:r>
            <w:r w:rsidR="006B242A">
              <w:rPr>
                <w:rFonts w:ascii="Times New Roman" w:hAnsi="Times New Roman"/>
              </w:rPr>
              <w:t>, ustanowionych u</w:t>
            </w:r>
            <w:r w:rsidR="006B242A" w:rsidRPr="00805B75">
              <w:rPr>
                <w:rFonts w:ascii="Times New Roman" w:hAnsi="Times New Roman"/>
              </w:rPr>
              <w:t>staw</w:t>
            </w:r>
            <w:r w:rsidR="006B242A">
              <w:rPr>
                <w:rFonts w:ascii="Times New Roman" w:hAnsi="Times New Roman"/>
              </w:rPr>
              <w:t>ą</w:t>
            </w:r>
            <w:r w:rsidR="006B242A" w:rsidRPr="00805B75">
              <w:rPr>
                <w:rFonts w:ascii="Times New Roman" w:hAnsi="Times New Roman"/>
              </w:rPr>
              <w:t xml:space="preserve"> z dnia 14 grudnia 2018 r. </w:t>
            </w:r>
            <w:r w:rsidR="006B242A" w:rsidRPr="004B458B">
              <w:rPr>
                <w:rFonts w:ascii="Times New Roman" w:hAnsi="Times New Roman"/>
                <w:i/>
                <w:iCs/>
              </w:rPr>
              <w:t>o promowaniu energii elektrycznej z wysokosprawnej kogeneracji</w:t>
            </w:r>
            <w:r w:rsidR="006B242A">
              <w:rPr>
                <w:rFonts w:ascii="Times New Roman" w:hAnsi="Times New Roman"/>
              </w:rPr>
              <w:t>.</w:t>
            </w:r>
            <w:r w:rsidR="006B242A" w:rsidRPr="00805B75" w:rsidDel="006B242A">
              <w:rPr>
                <w:rFonts w:ascii="Times New Roman" w:hAnsi="Times New Roman"/>
              </w:rPr>
              <w:t xml:space="preserve"> </w:t>
            </w:r>
          </w:p>
          <w:p w14:paraId="3A9D1935" w14:textId="049FEC21" w:rsidR="00CB6D27" w:rsidRDefault="00016CDA" w:rsidP="00447B1F">
            <w:pPr>
              <w:numPr>
                <w:ilvl w:val="0"/>
                <w:numId w:val="131"/>
              </w:numPr>
              <w:spacing w:line="240" w:lineRule="auto"/>
              <w:ind w:left="363" w:hanging="357"/>
              <w:contextualSpacing/>
              <w:jc w:val="both"/>
            </w:pPr>
            <w:r w:rsidRPr="002A1045">
              <w:rPr>
                <w:rFonts w:ascii="Times New Roman" w:hAnsi="Times New Roman"/>
              </w:rPr>
              <w:t xml:space="preserve">Zakłada się, że wsparcie udzielone instalacjom zmodernizowanym wyniesie maksymalnie 15 lat. </w:t>
            </w:r>
          </w:p>
          <w:p w14:paraId="3CC87D2B" w14:textId="5A9BC2F1" w:rsidR="00941DDC" w:rsidRPr="00447B1F" w:rsidRDefault="00FC5A76" w:rsidP="00447B1F">
            <w:pPr>
              <w:pStyle w:val="Akapitzlist"/>
              <w:numPr>
                <w:ilvl w:val="0"/>
                <w:numId w:val="184"/>
              </w:numPr>
              <w:spacing w:line="240" w:lineRule="auto"/>
              <w:ind w:left="347" w:hanging="357"/>
              <w:jc w:val="both"/>
              <w:rPr>
                <w:rFonts w:ascii="Times New Roman" w:hAnsi="Times New Roman"/>
              </w:rPr>
            </w:pPr>
            <w:r w:rsidRPr="00447B1F">
              <w:rPr>
                <w:rFonts w:ascii="Times New Roman" w:hAnsi="Times New Roman"/>
              </w:rPr>
              <w:t xml:space="preserve">System przeznaczony dla </w:t>
            </w:r>
            <w:r w:rsidR="00CB6D27" w:rsidRPr="00447B1F">
              <w:rPr>
                <w:rFonts w:ascii="Times New Roman" w:hAnsi="Times New Roman"/>
              </w:rPr>
              <w:t xml:space="preserve">instalacji OZE </w:t>
            </w:r>
            <w:r w:rsidR="00941DDC" w:rsidRPr="00447B1F">
              <w:rPr>
                <w:rFonts w:ascii="Times New Roman" w:hAnsi="Times New Roman"/>
              </w:rPr>
              <w:t>wykorzystujących:</w:t>
            </w:r>
          </w:p>
          <w:p w14:paraId="181E7EEF" w14:textId="4BABFCF5" w:rsidR="00941DDC" w:rsidRPr="00805B75" w:rsidRDefault="00941DDC" w:rsidP="00447B1F">
            <w:pPr>
              <w:pStyle w:val="divpoint"/>
              <w:numPr>
                <w:ilvl w:val="0"/>
                <w:numId w:val="131"/>
              </w:numPr>
              <w:spacing w:line="240" w:lineRule="auto"/>
              <w:ind w:left="1169"/>
              <w:rPr>
                <w:rFonts w:ascii="Times New Roman" w:hAnsi="Times New Roman" w:cs="Times New Roman"/>
                <w:sz w:val="22"/>
                <w:szCs w:val="22"/>
                <w:lang w:val="pl-PL"/>
              </w:rPr>
            </w:pPr>
            <w:r w:rsidRPr="00805B75">
              <w:rPr>
                <w:rFonts w:ascii="Times New Roman" w:hAnsi="Times New Roman" w:cs="Times New Roman"/>
                <w:sz w:val="22"/>
                <w:szCs w:val="22"/>
                <w:lang w:val="pl-PL"/>
              </w:rPr>
              <w:t>biogaz rolniczy albo</w:t>
            </w:r>
          </w:p>
          <w:p w14:paraId="233909CE" w14:textId="1799876C"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biogaz pozyskany ze składowisk odpadów, albo</w:t>
            </w:r>
          </w:p>
          <w:p w14:paraId="6C84640B" w14:textId="58230862"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biogaz pozyskany z oczyszczalni ścieków, albo</w:t>
            </w:r>
          </w:p>
          <w:p w14:paraId="2592B929" w14:textId="64B65205" w:rsidR="00941DDC" w:rsidRPr="00805B75"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805B75">
              <w:rPr>
                <w:rFonts w:ascii="Times New Roman" w:hAnsi="Times New Roman" w:cs="Times New Roman"/>
                <w:sz w:val="22"/>
                <w:szCs w:val="22"/>
                <w:lang w:val="pl-PL"/>
              </w:rPr>
              <w:t xml:space="preserve">biogaz inny niż określony </w:t>
            </w:r>
            <w:r w:rsidR="007C5CA6">
              <w:rPr>
                <w:rFonts w:ascii="Times New Roman" w:hAnsi="Times New Roman" w:cs="Times New Roman"/>
                <w:sz w:val="22"/>
                <w:szCs w:val="22"/>
                <w:lang w:val="pl-PL"/>
              </w:rPr>
              <w:t>powyżej</w:t>
            </w:r>
            <w:r w:rsidRPr="00805B75">
              <w:rPr>
                <w:rFonts w:ascii="Times New Roman" w:hAnsi="Times New Roman" w:cs="Times New Roman"/>
                <w:sz w:val="22"/>
                <w:szCs w:val="22"/>
                <w:lang w:val="pl-PL"/>
              </w:rPr>
              <w:t>, albo</w:t>
            </w:r>
          </w:p>
          <w:p w14:paraId="1B40F3D8" w14:textId="5AE1428E" w:rsidR="00941DDC" w:rsidRPr="00C9657F"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C9657F">
              <w:rPr>
                <w:rFonts w:ascii="Times New Roman" w:hAnsi="Times New Roman" w:cs="Times New Roman"/>
                <w:sz w:val="22"/>
                <w:szCs w:val="22"/>
                <w:lang w:val="pl-PL"/>
              </w:rPr>
              <w:t>hydroenergię</w:t>
            </w:r>
            <w:r w:rsidR="007C5CA6">
              <w:rPr>
                <w:rFonts w:ascii="Times New Roman" w:hAnsi="Times New Roman" w:cs="Times New Roman"/>
                <w:sz w:val="22"/>
                <w:szCs w:val="22"/>
                <w:lang w:val="pl-PL"/>
              </w:rPr>
              <w:t xml:space="preserve"> o mocy zainstalowanej elektrycznej nie większej niż 5 MW</w:t>
            </w:r>
            <w:r w:rsidRPr="00C9657F">
              <w:rPr>
                <w:rFonts w:ascii="Times New Roman" w:hAnsi="Times New Roman" w:cs="Times New Roman"/>
                <w:sz w:val="22"/>
                <w:szCs w:val="22"/>
                <w:lang w:val="pl-PL"/>
              </w:rPr>
              <w:t xml:space="preserve">, albo </w:t>
            </w:r>
          </w:p>
          <w:p w14:paraId="524AEF3D" w14:textId="397C0631" w:rsidR="00941DDC" w:rsidRPr="00941DDC" w:rsidRDefault="00941DDC" w:rsidP="00447B1F">
            <w:pPr>
              <w:pStyle w:val="divpoint"/>
              <w:numPr>
                <w:ilvl w:val="0"/>
                <w:numId w:val="131"/>
              </w:numPr>
              <w:spacing w:line="240" w:lineRule="auto"/>
              <w:ind w:left="1197"/>
              <w:rPr>
                <w:rFonts w:ascii="Times New Roman" w:hAnsi="Times New Roman" w:cs="Times New Roman"/>
                <w:sz w:val="22"/>
                <w:szCs w:val="22"/>
                <w:lang w:val="pl-PL"/>
              </w:rPr>
            </w:pPr>
            <w:r w:rsidRPr="00C9657F">
              <w:rPr>
                <w:rFonts w:ascii="Times New Roman" w:hAnsi="Times New Roman" w:cs="Times New Roman"/>
                <w:sz w:val="22"/>
                <w:szCs w:val="22"/>
                <w:lang w:val="pl-PL"/>
              </w:rPr>
              <w:t xml:space="preserve">biomasę </w:t>
            </w:r>
          </w:p>
          <w:p w14:paraId="7E44B952" w14:textId="2829F249" w:rsidR="00235F31" w:rsidRPr="00876774" w:rsidRDefault="00941DDC" w:rsidP="00447B1F">
            <w:pPr>
              <w:pStyle w:val="divpoint"/>
              <w:spacing w:after="120" w:line="240" w:lineRule="auto"/>
              <w:ind w:left="772"/>
              <w:jc w:val="both"/>
              <w:rPr>
                <w:rFonts w:ascii="Times New Roman" w:hAnsi="Times New Roman"/>
                <w:sz w:val="22"/>
                <w:szCs w:val="22"/>
                <w:lang w:val="pl-PL"/>
              </w:rPr>
            </w:pPr>
            <w:r w:rsidRPr="00C9657F">
              <w:rPr>
                <w:rFonts w:ascii="Times New Roman" w:hAnsi="Times New Roman" w:cs="Times New Roman"/>
                <w:sz w:val="22"/>
                <w:szCs w:val="22"/>
                <w:lang w:val="pl-PL"/>
              </w:rPr>
              <w:t>- w zależności od mocy zainstalowanej</w:t>
            </w:r>
            <w:r w:rsidRPr="00C9657F">
              <w:rPr>
                <w:rFonts w:ascii="Times New Roman" w:hAnsi="Times New Roman"/>
                <w:sz w:val="22"/>
                <w:szCs w:val="22"/>
                <w:lang w:val="pl-PL"/>
              </w:rPr>
              <w:t xml:space="preserve"> wsparcie będzie udzielane w formie</w:t>
            </w:r>
            <w:r w:rsidR="004F3AB4">
              <w:rPr>
                <w:rFonts w:ascii="Times New Roman" w:hAnsi="Times New Roman"/>
                <w:sz w:val="22"/>
                <w:szCs w:val="22"/>
                <w:lang w:val="pl-PL"/>
              </w:rPr>
              <w:t>:</w:t>
            </w:r>
            <w:r w:rsidRPr="00C9657F">
              <w:rPr>
                <w:rFonts w:ascii="Times New Roman" w:hAnsi="Times New Roman"/>
                <w:sz w:val="22"/>
                <w:szCs w:val="22"/>
                <w:lang w:val="pl-PL"/>
              </w:rPr>
              <w:t xml:space="preserve"> </w:t>
            </w:r>
            <w:r w:rsidR="004F3AB4">
              <w:rPr>
                <w:rFonts w:ascii="Times New Roman" w:hAnsi="Times New Roman"/>
                <w:sz w:val="22"/>
                <w:szCs w:val="22"/>
                <w:lang w:val="pl-PL"/>
              </w:rPr>
              <w:t xml:space="preserve">(i) </w:t>
            </w:r>
            <w:r w:rsidR="004F3AB4" w:rsidRPr="00C9657F">
              <w:rPr>
                <w:rFonts w:ascii="Times New Roman" w:hAnsi="Times New Roman"/>
                <w:sz w:val="22"/>
                <w:szCs w:val="22"/>
                <w:lang w:val="pl-PL"/>
              </w:rPr>
              <w:t xml:space="preserve">taryfy </w:t>
            </w:r>
            <w:r w:rsidRPr="00C9657F">
              <w:rPr>
                <w:rFonts w:ascii="Times New Roman" w:hAnsi="Times New Roman"/>
                <w:sz w:val="22"/>
                <w:szCs w:val="22"/>
                <w:lang w:val="pl-PL"/>
              </w:rPr>
              <w:t>gwarantowanej w ramach istniejącego systemu FIT</w:t>
            </w:r>
            <w:r w:rsidR="004F3AB4">
              <w:rPr>
                <w:rFonts w:ascii="Times New Roman" w:hAnsi="Times New Roman"/>
                <w:sz w:val="22"/>
                <w:szCs w:val="22"/>
                <w:lang w:val="pl-PL"/>
              </w:rPr>
              <w:t xml:space="preserve"> </w:t>
            </w:r>
            <w:r w:rsidR="004F3AB4" w:rsidRPr="00C9657F">
              <w:rPr>
                <w:rFonts w:ascii="Times New Roman" w:hAnsi="Times New Roman"/>
                <w:sz w:val="22"/>
                <w:szCs w:val="22"/>
                <w:lang w:val="pl-PL"/>
              </w:rPr>
              <w:t>(o mocy mniejszej niż</w:t>
            </w:r>
            <w:r w:rsidR="004F3AB4">
              <w:rPr>
                <w:rFonts w:ascii="Times New Roman" w:hAnsi="Times New Roman"/>
                <w:sz w:val="22"/>
                <w:szCs w:val="22"/>
                <w:lang w:val="pl-PL"/>
              </w:rPr>
              <w:t xml:space="preserve"> </w:t>
            </w:r>
            <w:r w:rsidR="004F3AB4" w:rsidRPr="00C9657F">
              <w:rPr>
                <w:rFonts w:ascii="Times New Roman" w:hAnsi="Times New Roman"/>
                <w:sz w:val="22"/>
                <w:szCs w:val="22"/>
                <w:lang w:val="pl-PL"/>
              </w:rPr>
              <w:t>500 kW)</w:t>
            </w:r>
            <w:r w:rsidRPr="00C9657F">
              <w:rPr>
                <w:rFonts w:ascii="Times New Roman" w:hAnsi="Times New Roman"/>
                <w:sz w:val="22"/>
                <w:szCs w:val="22"/>
                <w:lang w:val="pl-PL"/>
              </w:rPr>
              <w:t xml:space="preserve">, </w:t>
            </w:r>
            <w:r w:rsidR="004F3AB4">
              <w:rPr>
                <w:rFonts w:ascii="Times New Roman" w:hAnsi="Times New Roman"/>
                <w:sz w:val="22"/>
                <w:szCs w:val="22"/>
                <w:lang w:val="pl-PL"/>
              </w:rPr>
              <w:t xml:space="preserve">(ii) </w:t>
            </w:r>
            <w:r w:rsidR="00CB6D27" w:rsidRPr="000D3F79">
              <w:rPr>
                <w:rFonts w:ascii="Times New Roman" w:hAnsi="Times New Roman" w:cs="Times New Roman"/>
                <w:sz w:val="22"/>
                <w:szCs w:val="22"/>
                <w:lang w:val="pl-PL"/>
              </w:rPr>
              <w:t>premii do rynkowej ceny energii elektrycznej, w ramach istniejącego systemu FIP</w:t>
            </w:r>
            <w:r w:rsidR="00876774">
              <w:rPr>
                <w:rFonts w:ascii="Times New Roman" w:hAnsi="Times New Roman" w:cs="Times New Roman"/>
                <w:sz w:val="22"/>
                <w:szCs w:val="22"/>
                <w:lang w:val="pl-PL"/>
              </w:rPr>
              <w:t xml:space="preserve"> </w:t>
            </w:r>
            <w:r w:rsidR="004F3AB4">
              <w:rPr>
                <w:rFonts w:ascii="Times New Roman" w:hAnsi="Times New Roman"/>
                <w:sz w:val="22"/>
                <w:szCs w:val="22"/>
                <w:lang w:val="pl-PL"/>
              </w:rPr>
              <w:t>(</w:t>
            </w:r>
            <w:r w:rsidR="004F3AB4" w:rsidRPr="00C9657F">
              <w:rPr>
                <w:rFonts w:ascii="Times New Roman" w:hAnsi="Times New Roman" w:cs="Times New Roman"/>
                <w:sz w:val="22"/>
                <w:szCs w:val="22"/>
                <w:lang w:val="pl-PL"/>
              </w:rPr>
              <w:t>o mocy nie mniejszej niż 500 kW i nie większej niż 1 MW</w:t>
            </w:r>
            <w:r w:rsidR="004F3AB4">
              <w:rPr>
                <w:rFonts w:ascii="Times New Roman" w:hAnsi="Times New Roman" w:cs="Times New Roman"/>
                <w:sz w:val="22"/>
                <w:szCs w:val="22"/>
                <w:lang w:val="pl-PL"/>
              </w:rPr>
              <w:t xml:space="preserve">) (iii) </w:t>
            </w:r>
            <w:r w:rsidR="00CB6D27" w:rsidRPr="00876774">
              <w:rPr>
                <w:rFonts w:ascii="Times New Roman" w:hAnsi="Times New Roman"/>
                <w:sz w:val="22"/>
                <w:szCs w:val="22"/>
                <w:lang w:val="pl-PL"/>
              </w:rPr>
              <w:t>systemu aukcyjnego</w:t>
            </w:r>
            <w:r w:rsidR="004F3AB4" w:rsidRPr="00876774">
              <w:rPr>
                <w:rFonts w:ascii="Times New Roman" w:hAnsi="Times New Roman"/>
                <w:sz w:val="22"/>
                <w:szCs w:val="22"/>
                <w:lang w:val="pl-PL"/>
              </w:rPr>
              <w:t xml:space="preserve"> </w:t>
            </w:r>
            <w:r w:rsidR="004F3AB4">
              <w:rPr>
                <w:rFonts w:ascii="Times New Roman" w:hAnsi="Times New Roman"/>
                <w:sz w:val="22"/>
                <w:szCs w:val="22"/>
                <w:lang w:val="pl-PL"/>
              </w:rPr>
              <w:t>(d</w:t>
            </w:r>
            <w:r w:rsidR="004F3AB4" w:rsidRPr="00876774">
              <w:rPr>
                <w:rFonts w:ascii="Times New Roman" w:hAnsi="Times New Roman"/>
                <w:sz w:val="22"/>
                <w:szCs w:val="22"/>
                <w:lang w:val="pl-PL"/>
              </w:rPr>
              <w:t xml:space="preserve">la </w:t>
            </w:r>
            <w:r w:rsidR="004F3AB4">
              <w:rPr>
                <w:rFonts w:ascii="Times New Roman" w:hAnsi="Times New Roman"/>
                <w:sz w:val="22"/>
                <w:szCs w:val="22"/>
                <w:lang w:val="pl-PL"/>
              </w:rPr>
              <w:t xml:space="preserve">większych </w:t>
            </w:r>
            <w:r w:rsidR="004F3AB4" w:rsidRPr="00876774">
              <w:rPr>
                <w:rFonts w:ascii="Times New Roman" w:hAnsi="Times New Roman"/>
                <w:sz w:val="22"/>
                <w:szCs w:val="22"/>
                <w:lang w:val="pl-PL"/>
              </w:rPr>
              <w:t>instalacji OZE</w:t>
            </w:r>
            <w:r w:rsidR="004F3AB4">
              <w:rPr>
                <w:rFonts w:ascii="Times New Roman" w:hAnsi="Times New Roman"/>
                <w:sz w:val="22"/>
                <w:szCs w:val="22"/>
                <w:lang w:val="pl-PL"/>
              </w:rPr>
              <w:t>)</w:t>
            </w:r>
            <w:r w:rsidR="00351151" w:rsidRPr="00876774">
              <w:rPr>
                <w:rFonts w:ascii="Times New Roman" w:hAnsi="Times New Roman"/>
                <w:sz w:val="22"/>
                <w:szCs w:val="22"/>
                <w:lang w:val="pl-PL"/>
              </w:rPr>
              <w:t>.</w:t>
            </w:r>
          </w:p>
          <w:p w14:paraId="2C7A291C" w14:textId="7C825D1B" w:rsidR="004F3AB4" w:rsidRDefault="004F3AB4" w:rsidP="004F3AB4">
            <w:pPr>
              <w:spacing w:after="120" w:line="240" w:lineRule="auto"/>
              <w:jc w:val="both"/>
              <w:rPr>
                <w:rFonts w:ascii="Times New Roman" w:hAnsi="Times New Roman"/>
              </w:rPr>
            </w:pPr>
            <w:r w:rsidRPr="00974BA7">
              <w:rPr>
                <w:rFonts w:ascii="Times New Roman" w:hAnsi="Times New Roman"/>
              </w:rPr>
              <w:t xml:space="preserve">Ze względu na specyfikę technologii wiatrowej i </w:t>
            </w:r>
            <w:proofErr w:type="spellStart"/>
            <w:r w:rsidRPr="00974BA7">
              <w:rPr>
                <w:rFonts w:ascii="Times New Roman" w:hAnsi="Times New Roman"/>
              </w:rPr>
              <w:t>fotowoltaiki</w:t>
            </w:r>
            <w:proofErr w:type="spellEnd"/>
            <w:r w:rsidRPr="00974BA7">
              <w:rPr>
                <w:rFonts w:ascii="Times New Roman" w:hAnsi="Times New Roman"/>
              </w:rPr>
              <w:t xml:space="preserve"> brak </w:t>
            </w:r>
            <w:r>
              <w:rPr>
                <w:rFonts w:ascii="Times New Roman" w:hAnsi="Times New Roman"/>
              </w:rPr>
              <w:t xml:space="preserve">jest </w:t>
            </w:r>
            <w:r w:rsidRPr="00974BA7">
              <w:rPr>
                <w:rFonts w:ascii="Times New Roman" w:hAnsi="Times New Roman"/>
              </w:rPr>
              <w:t>technicznego uzasadnienia dla przeprowadzania modernizacji (potrzeba modernizacji instalacji zwykle oznacza konieczność kompleksowej wymiany wszystkich jej elementów)</w:t>
            </w:r>
            <w:r>
              <w:rPr>
                <w:rFonts w:ascii="Times New Roman" w:hAnsi="Times New Roman"/>
              </w:rPr>
              <w:t xml:space="preserve"> – </w:t>
            </w:r>
            <w:r w:rsidRPr="00974BA7">
              <w:rPr>
                <w:rFonts w:ascii="Times New Roman" w:hAnsi="Times New Roman"/>
              </w:rPr>
              <w:t>powinny one być wyłączone z instrumentu wsparcia modernizacji</w:t>
            </w:r>
            <w:r w:rsidR="00012E65">
              <w:rPr>
                <w:rFonts w:ascii="Times New Roman" w:hAnsi="Times New Roman"/>
              </w:rPr>
              <w:t xml:space="preserve"> i traktowane jako nowe instalacje</w:t>
            </w:r>
            <w:r w:rsidRPr="00974BA7">
              <w:rPr>
                <w:rFonts w:ascii="Times New Roman" w:hAnsi="Times New Roman"/>
              </w:rPr>
              <w:t>.</w:t>
            </w:r>
          </w:p>
          <w:p w14:paraId="64C2DD16" w14:textId="77777777" w:rsidR="002B0C47" w:rsidRPr="000D3F79" w:rsidRDefault="002B0C47" w:rsidP="000D3F79">
            <w:pPr>
              <w:spacing w:line="240" w:lineRule="auto"/>
              <w:jc w:val="both"/>
              <w:rPr>
                <w:rFonts w:ascii="Times New Roman" w:hAnsi="Times New Roman"/>
              </w:rPr>
            </w:pPr>
            <w:r w:rsidRPr="000D3F79">
              <w:rPr>
                <w:rFonts w:ascii="Times New Roman" w:hAnsi="Times New Roman"/>
              </w:rPr>
              <w:t>W celu odzwierciedlenia wysiłku inwestycyjnego i jego wpływu na dalsze funkcjonowanie instalacji OZE wyodrębnione zostały dwie kategorie inwestycji modernizacyjnych:</w:t>
            </w:r>
          </w:p>
          <w:p w14:paraId="22A87966" w14:textId="77777777" w:rsidR="002B0C47" w:rsidRPr="00C9657F" w:rsidRDefault="002B0C47" w:rsidP="00ED6A97">
            <w:pPr>
              <w:numPr>
                <w:ilvl w:val="0"/>
                <w:numId w:val="150"/>
              </w:numPr>
              <w:spacing w:line="240" w:lineRule="auto"/>
              <w:jc w:val="both"/>
              <w:rPr>
                <w:rFonts w:ascii="Times New Roman" w:hAnsi="Times New Roman"/>
              </w:rPr>
            </w:pPr>
            <w:r w:rsidRPr="00C9657F">
              <w:rPr>
                <w:rFonts w:ascii="Times New Roman" w:hAnsi="Times New Roman"/>
              </w:rPr>
              <w:t xml:space="preserve">modernizacja – o kosztach inwestycyjnych nie mniejszych niż 25% i nie większych niż 50% nakładów na budowę nowej </w:t>
            </w:r>
            <w:r w:rsidRPr="00DA7D53">
              <w:rPr>
                <w:rFonts w:ascii="Times New Roman" w:hAnsi="Times New Roman"/>
              </w:rPr>
              <w:t>referencyjnej</w:t>
            </w:r>
            <w:r w:rsidRPr="00C9657F">
              <w:rPr>
                <w:rFonts w:ascii="Times New Roman" w:hAnsi="Times New Roman"/>
              </w:rPr>
              <w:t xml:space="preserve"> instalacji OZE,</w:t>
            </w:r>
          </w:p>
          <w:p w14:paraId="40A4FA5A" w14:textId="7DCF5939" w:rsidR="002B0C47" w:rsidRPr="000D3F79" w:rsidRDefault="002B0C47" w:rsidP="009E69C6">
            <w:pPr>
              <w:numPr>
                <w:ilvl w:val="0"/>
                <w:numId w:val="150"/>
              </w:numPr>
              <w:spacing w:after="120" w:line="240" w:lineRule="auto"/>
              <w:jc w:val="both"/>
              <w:rPr>
                <w:rFonts w:ascii="Times New Roman" w:hAnsi="Times New Roman"/>
              </w:rPr>
            </w:pPr>
            <w:r w:rsidRPr="00C9657F">
              <w:rPr>
                <w:rFonts w:ascii="Times New Roman" w:hAnsi="Times New Roman"/>
              </w:rPr>
              <w:t xml:space="preserve">modernizacja – o kosztach inwestycyjnych większych niż 50% nakładów na budowę nowej </w:t>
            </w:r>
            <w:r w:rsidRPr="00DA7D53">
              <w:rPr>
                <w:rFonts w:ascii="Times New Roman" w:hAnsi="Times New Roman"/>
              </w:rPr>
              <w:t>referencyjnej</w:t>
            </w:r>
            <w:r w:rsidRPr="00C9657F">
              <w:rPr>
                <w:rFonts w:ascii="Times New Roman" w:hAnsi="Times New Roman"/>
              </w:rPr>
              <w:t xml:space="preserve"> instalacji OZE.</w:t>
            </w:r>
          </w:p>
          <w:tbl>
            <w:tblPr>
              <w:tblStyle w:val="Tabela-Siatka"/>
              <w:tblW w:w="0" w:type="auto"/>
              <w:jc w:val="center"/>
              <w:tblLayout w:type="fixed"/>
              <w:tblLook w:val="04A0" w:firstRow="1" w:lastRow="0" w:firstColumn="1" w:lastColumn="0" w:noHBand="0" w:noVBand="1"/>
            </w:tblPr>
            <w:tblGrid>
              <w:gridCol w:w="3132"/>
              <w:gridCol w:w="2533"/>
              <w:gridCol w:w="3731"/>
            </w:tblGrid>
            <w:tr w:rsidR="00012E65" w14:paraId="39153CD2" w14:textId="77777777" w:rsidTr="00BB44DB">
              <w:trPr>
                <w:jc w:val="center"/>
              </w:trPr>
              <w:tc>
                <w:tcPr>
                  <w:tcW w:w="9396" w:type="dxa"/>
                  <w:gridSpan w:val="3"/>
                  <w:shd w:val="clear" w:color="auto" w:fill="AEAAAA" w:themeFill="background2" w:themeFillShade="BF"/>
                </w:tcPr>
                <w:p w14:paraId="46BD45FB" w14:textId="77777777" w:rsidR="00012E65" w:rsidRPr="009E69C6" w:rsidRDefault="00012E65" w:rsidP="00BB44DB">
                  <w:pPr>
                    <w:spacing w:before="120" w:line="240" w:lineRule="auto"/>
                    <w:jc w:val="center"/>
                    <w:rPr>
                      <w:rFonts w:ascii="Times New Roman" w:hAnsi="Times New Roman"/>
                      <w:b/>
                      <w:bCs/>
                      <w:kern w:val="24"/>
                      <w:lang w:eastAsia="pl-PL"/>
                    </w:rPr>
                  </w:pPr>
                  <w:r w:rsidRPr="009E69C6">
                    <w:rPr>
                      <w:rFonts w:ascii="Times New Roman" w:hAnsi="Times New Roman"/>
                      <w:b/>
                      <w:bCs/>
                      <w:kern w:val="24"/>
                      <w:lang w:eastAsia="pl-PL"/>
                    </w:rPr>
                    <w:t>Korekta wsparcia w zależności od wysokości poniesionych kosztów modernizacji</w:t>
                  </w:r>
                </w:p>
                <w:p w14:paraId="6632773D" w14:textId="77777777" w:rsidR="00012E65" w:rsidRPr="00462549" w:rsidRDefault="00012E65" w:rsidP="00BB44DB">
                  <w:pPr>
                    <w:spacing w:before="120" w:line="240" w:lineRule="auto"/>
                    <w:jc w:val="center"/>
                    <w:rPr>
                      <w:rFonts w:ascii="Times New Roman" w:hAnsi="Times New Roman"/>
                      <w:b/>
                      <w:bCs/>
                      <w:color w:val="FFFFFF" w:themeColor="background1"/>
                      <w:kern w:val="24"/>
                      <w:lang w:eastAsia="pl-PL"/>
                    </w:rPr>
                  </w:pPr>
                  <w:r w:rsidRPr="009E69C6">
                    <w:rPr>
                      <w:rFonts w:ascii="Times New Roman" w:hAnsi="Times New Roman"/>
                      <w:b/>
                      <w:bCs/>
                      <w:kern w:val="24"/>
                      <w:lang w:eastAsia="pl-PL"/>
                    </w:rPr>
                    <w:t>(w odniesieniu do nakładów na nową referencyjną instalację OZE)</w:t>
                  </w:r>
                </w:p>
              </w:tc>
            </w:tr>
            <w:tr w:rsidR="00012E65" w14:paraId="36A1BF84" w14:textId="77777777" w:rsidTr="00BB44DB">
              <w:trPr>
                <w:jc w:val="center"/>
              </w:trPr>
              <w:tc>
                <w:tcPr>
                  <w:tcW w:w="3132" w:type="dxa"/>
                  <w:vAlign w:val="center"/>
                </w:tcPr>
                <w:p w14:paraId="7ECB2013" w14:textId="77777777" w:rsidR="00012E65" w:rsidRPr="00462549" w:rsidRDefault="00012E65" w:rsidP="007219CD">
                  <w:pPr>
                    <w:jc w:val="center"/>
                    <w:rPr>
                      <w:rFonts w:ascii="Times New Roman" w:hAnsi="Times New Roman"/>
                      <w:b/>
                      <w:bCs/>
                      <w:iCs/>
                      <w:sz w:val="20"/>
                      <w:szCs w:val="20"/>
                    </w:rPr>
                  </w:pPr>
                  <w:r w:rsidRPr="00462549">
                    <w:rPr>
                      <w:rFonts w:ascii="Times New Roman" w:hAnsi="Times New Roman"/>
                      <w:b/>
                      <w:bCs/>
                      <w:sz w:val="20"/>
                      <w:szCs w:val="20"/>
                    </w:rPr>
                    <w:t>Poziom poniesionych nakładów inwestycyjnych</w:t>
                  </w:r>
                </w:p>
              </w:tc>
              <w:tc>
                <w:tcPr>
                  <w:tcW w:w="2533" w:type="dxa"/>
                  <w:vAlign w:val="center"/>
                </w:tcPr>
                <w:p w14:paraId="519A664C" w14:textId="77777777" w:rsidR="00012E65" w:rsidRPr="00462549" w:rsidRDefault="00012E65" w:rsidP="007219CD">
                  <w:pPr>
                    <w:jc w:val="center"/>
                    <w:rPr>
                      <w:rFonts w:ascii="Times New Roman" w:hAnsi="Times New Roman"/>
                      <w:b/>
                      <w:bCs/>
                      <w:iCs/>
                    </w:rPr>
                  </w:pPr>
                  <w:r w:rsidRPr="00462549">
                    <w:rPr>
                      <w:rFonts w:ascii="Times New Roman" w:hAnsi="Times New Roman"/>
                      <w:b/>
                      <w:bCs/>
                      <w:sz w:val="20"/>
                      <w:szCs w:val="20"/>
                    </w:rPr>
                    <w:t>Okres wsparcia</w:t>
                  </w:r>
                </w:p>
              </w:tc>
              <w:tc>
                <w:tcPr>
                  <w:tcW w:w="3731" w:type="dxa"/>
                  <w:vAlign w:val="center"/>
                </w:tcPr>
                <w:p w14:paraId="2B5352F1" w14:textId="77777777" w:rsidR="00012E65" w:rsidRPr="00462549" w:rsidRDefault="00012E65" w:rsidP="007219CD">
                  <w:pPr>
                    <w:jc w:val="center"/>
                    <w:rPr>
                      <w:rFonts w:ascii="Times New Roman" w:hAnsi="Times New Roman"/>
                      <w:b/>
                      <w:bCs/>
                      <w:iCs/>
                    </w:rPr>
                  </w:pPr>
                  <w:r w:rsidRPr="00462549">
                    <w:rPr>
                      <w:rFonts w:ascii="Times New Roman" w:hAnsi="Times New Roman"/>
                      <w:b/>
                      <w:bCs/>
                      <w:sz w:val="20"/>
                      <w:szCs w:val="20"/>
                    </w:rPr>
                    <w:t>Wysokość wsparcia</w:t>
                  </w:r>
                </w:p>
              </w:tc>
            </w:tr>
            <w:tr w:rsidR="00012E65" w14:paraId="67FD651D" w14:textId="77777777" w:rsidTr="00BB44DB">
              <w:trPr>
                <w:jc w:val="center"/>
              </w:trPr>
              <w:tc>
                <w:tcPr>
                  <w:tcW w:w="3132" w:type="dxa"/>
                  <w:vAlign w:val="center"/>
                </w:tcPr>
                <w:p w14:paraId="763D0E3B" w14:textId="77777777" w:rsidR="00012E65" w:rsidRPr="00462549" w:rsidRDefault="00012E65" w:rsidP="007219CD">
                  <w:pPr>
                    <w:spacing w:before="60"/>
                    <w:jc w:val="center"/>
                    <w:rPr>
                      <w:rFonts w:ascii="Times New Roman" w:hAnsi="Times New Roman"/>
                      <w:iCs/>
                      <w:sz w:val="20"/>
                      <w:szCs w:val="20"/>
                    </w:rPr>
                  </w:pPr>
                  <w:r w:rsidRPr="00462549">
                    <w:rPr>
                      <w:rFonts w:ascii="Times New Roman" w:hAnsi="Times New Roman"/>
                      <w:iCs/>
                      <w:sz w:val="20"/>
                      <w:szCs w:val="20"/>
                    </w:rPr>
                    <w:t>25-33%</w:t>
                  </w:r>
                </w:p>
              </w:tc>
              <w:tc>
                <w:tcPr>
                  <w:tcW w:w="2533" w:type="dxa"/>
                  <w:vAlign w:val="center"/>
                </w:tcPr>
                <w:p w14:paraId="1F57E120" w14:textId="107722BD"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5 -lat</w:t>
                  </w:r>
                </w:p>
              </w:tc>
              <w:tc>
                <w:tcPr>
                  <w:tcW w:w="3731" w:type="dxa"/>
                  <w:vMerge w:val="restart"/>
                  <w:vAlign w:val="center"/>
                </w:tcPr>
                <w:p w14:paraId="09644D7D"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Pełna cena referencyjna lub stała cena zakupu (z zastrzeżeniem art. 70e ust. 1)</w:t>
                  </w:r>
                </w:p>
              </w:tc>
            </w:tr>
            <w:tr w:rsidR="00012E65" w14:paraId="3BA3535F" w14:textId="77777777" w:rsidTr="00BB44DB">
              <w:trPr>
                <w:jc w:val="center"/>
              </w:trPr>
              <w:tc>
                <w:tcPr>
                  <w:tcW w:w="3132" w:type="dxa"/>
                  <w:vAlign w:val="center"/>
                </w:tcPr>
                <w:p w14:paraId="7F1CE5EB"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34-40%</w:t>
                  </w:r>
                </w:p>
              </w:tc>
              <w:tc>
                <w:tcPr>
                  <w:tcW w:w="2533" w:type="dxa"/>
                  <w:vAlign w:val="center"/>
                </w:tcPr>
                <w:p w14:paraId="12AD672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6 lat</w:t>
                  </w:r>
                </w:p>
              </w:tc>
              <w:tc>
                <w:tcPr>
                  <w:tcW w:w="3731" w:type="dxa"/>
                  <w:vMerge/>
                  <w:vAlign w:val="center"/>
                </w:tcPr>
                <w:p w14:paraId="215B0389" w14:textId="77777777" w:rsidR="00012E65" w:rsidRPr="00462549" w:rsidRDefault="00012E65" w:rsidP="007219CD">
                  <w:pPr>
                    <w:spacing w:before="60"/>
                    <w:jc w:val="center"/>
                    <w:rPr>
                      <w:rFonts w:ascii="Times New Roman" w:hAnsi="Times New Roman"/>
                      <w:iCs/>
                      <w:sz w:val="20"/>
                      <w:szCs w:val="20"/>
                    </w:rPr>
                  </w:pPr>
                </w:p>
              </w:tc>
            </w:tr>
            <w:tr w:rsidR="00012E65" w14:paraId="398E6BAB" w14:textId="77777777" w:rsidTr="007219CD">
              <w:trPr>
                <w:trHeight w:val="169"/>
                <w:jc w:val="center"/>
              </w:trPr>
              <w:tc>
                <w:tcPr>
                  <w:tcW w:w="3132" w:type="dxa"/>
                  <w:vAlign w:val="center"/>
                </w:tcPr>
                <w:p w14:paraId="03C22A9F"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41-50%</w:t>
                  </w:r>
                </w:p>
              </w:tc>
              <w:tc>
                <w:tcPr>
                  <w:tcW w:w="2533" w:type="dxa"/>
                  <w:vAlign w:val="center"/>
                </w:tcPr>
                <w:p w14:paraId="4AE9D7B3"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7 lat</w:t>
                  </w:r>
                </w:p>
              </w:tc>
              <w:tc>
                <w:tcPr>
                  <w:tcW w:w="3731" w:type="dxa"/>
                  <w:vMerge/>
                  <w:vAlign w:val="center"/>
                </w:tcPr>
                <w:p w14:paraId="0804C1E0" w14:textId="77777777" w:rsidR="00012E65" w:rsidRPr="00462549" w:rsidRDefault="00012E65" w:rsidP="007219CD">
                  <w:pPr>
                    <w:spacing w:before="60"/>
                    <w:jc w:val="center"/>
                    <w:rPr>
                      <w:rFonts w:ascii="Times New Roman" w:hAnsi="Times New Roman"/>
                      <w:iCs/>
                      <w:sz w:val="20"/>
                      <w:szCs w:val="20"/>
                    </w:rPr>
                  </w:pPr>
                </w:p>
              </w:tc>
            </w:tr>
            <w:tr w:rsidR="00012E65" w14:paraId="637F1D03" w14:textId="77777777" w:rsidTr="00BB44DB">
              <w:trPr>
                <w:jc w:val="center"/>
              </w:trPr>
              <w:tc>
                <w:tcPr>
                  <w:tcW w:w="3132" w:type="dxa"/>
                  <w:vAlign w:val="center"/>
                </w:tcPr>
                <w:p w14:paraId="27C548ED"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51-60%</w:t>
                  </w:r>
                </w:p>
              </w:tc>
              <w:tc>
                <w:tcPr>
                  <w:tcW w:w="2533" w:type="dxa"/>
                  <w:vMerge w:val="restart"/>
                  <w:vAlign w:val="center"/>
                </w:tcPr>
                <w:p w14:paraId="568B82B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15 lat</w:t>
                  </w:r>
                </w:p>
              </w:tc>
              <w:tc>
                <w:tcPr>
                  <w:tcW w:w="3731" w:type="dxa"/>
                  <w:vAlign w:val="center"/>
                </w:tcPr>
                <w:p w14:paraId="41227F6C"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0,68</w:t>
                  </w:r>
                </w:p>
              </w:tc>
            </w:tr>
            <w:tr w:rsidR="00012E65" w14:paraId="2579D60B" w14:textId="77777777" w:rsidTr="00BB44DB">
              <w:trPr>
                <w:jc w:val="center"/>
              </w:trPr>
              <w:tc>
                <w:tcPr>
                  <w:tcW w:w="3132" w:type="dxa"/>
                  <w:vAlign w:val="center"/>
                </w:tcPr>
                <w:p w14:paraId="1E88E092"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61-70%</w:t>
                  </w:r>
                </w:p>
              </w:tc>
              <w:tc>
                <w:tcPr>
                  <w:tcW w:w="2533" w:type="dxa"/>
                  <w:vMerge/>
                  <w:vAlign w:val="center"/>
                </w:tcPr>
                <w:p w14:paraId="041C0AC6"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42D5F737"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0,76</w:t>
                  </w:r>
                </w:p>
              </w:tc>
            </w:tr>
            <w:tr w:rsidR="00012E65" w14:paraId="4CE01702" w14:textId="77777777" w:rsidTr="00BB44DB">
              <w:trPr>
                <w:jc w:val="center"/>
              </w:trPr>
              <w:tc>
                <w:tcPr>
                  <w:tcW w:w="3132" w:type="dxa"/>
                  <w:vAlign w:val="center"/>
                </w:tcPr>
                <w:p w14:paraId="4E152E66"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71-80%</w:t>
                  </w:r>
                </w:p>
              </w:tc>
              <w:tc>
                <w:tcPr>
                  <w:tcW w:w="2533" w:type="dxa"/>
                  <w:vMerge/>
                  <w:vAlign w:val="center"/>
                </w:tcPr>
                <w:p w14:paraId="1DA1E70F"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6729E26B"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0,84</w:t>
                  </w:r>
                </w:p>
              </w:tc>
            </w:tr>
            <w:tr w:rsidR="00012E65" w14:paraId="1A2623CE" w14:textId="77777777" w:rsidTr="00BB44DB">
              <w:trPr>
                <w:jc w:val="center"/>
              </w:trPr>
              <w:tc>
                <w:tcPr>
                  <w:tcW w:w="3132" w:type="dxa"/>
                  <w:vAlign w:val="center"/>
                </w:tcPr>
                <w:p w14:paraId="4BDF9665"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81-90%</w:t>
                  </w:r>
                </w:p>
              </w:tc>
              <w:tc>
                <w:tcPr>
                  <w:tcW w:w="2533" w:type="dxa"/>
                  <w:vMerge/>
                  <w:vAlign w:val="center"/>
                </w:tcPr>
                <w:p w14:paraId="5B998565"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2B9F5254" w14:textId="77777777"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Korekta współczynnikiem 0,92</w:t>
                  </w:r>
                </w:p>
              </w:tc>
            </w:tr>
            <w:tr w:rsidR="00012E65" w14:paraId="10C755ED" w14:textId="77777777" w:rsidTr="00BB44DB">
              <w:trPr>
                <w:jc w:val="center"/>
              </w:trPr>
              <w:tc>
                <w:tcPr>
                  <w:tcW w:w="3132" w:type="dxa"/>
                  <w:vAlign w:val="center"/>
                </w:tcPr>
                <w:p w14:paraId="44384DA8" w14:textId="77777777" w:rsidR="00012E65" w:rsidRDefault="00012E65" w:rsidP="007219CD">
                  <w:pPr>
                    <w:spacing w:before="60"/>
                    <w:jc w:val="center"/>
                    <w:rPr>
                      <w:rFonts w:ascii="Times New Roman" w:hAnsi="Times New Roman"/>
                      <w:iCs/>
                      <w:sz w:val="20"/>
                      <w:szCs w:val="20"/>
                    </w:rPr>
                  </w:pPr>
                  <w:r>
                    <w:rPr>
                      <w:rFonts w:ascii="Times New Roman" w:hAnsi="Times New Roman"/>
                      <w:iCs/>
                      <w:sz w:val="20"/>
                      <w:szCs w:val="20"/>
                    </w:rPr>
                    <w:t>91-100%</w:t>
                  </w:r>
                </w:p>
              </w:tc>
              <w:tc>
                <w:tcPr>
                  <w:tcW w:w="2533" w:type="dxa"/>
                  <w:vMerge/>
                  <w:vAlign w:val="center"/>
                </w:tcPr>
                <w:p w14:paraId="3F080C3C" w14:textId="77777777" w:rsidR="00012E65" w:rsidRPr="00462549" w:rsidRDefault="00012E65" w:rsidP="007219CD">
                  <w:pPr>
                    <w:spacing w:before="60"/>
                    <w:jc w:val="center"/>
                    <w:rPr>
                      <w:rFonts w:ascii="Times New Roman" w:hAnsi="Times New Roman"/>
                      <w:iCs/>
                      <w:sz w:val="20"/>
                      <w:szCs w:val="20"/>
                    </w:rPr>
                  </w:pPr>
                </w:p>
              </w:tc>
              <w:tc>
                <w:tcPr>
                  <w:tcW w:w="3731" w:type="dxa"/>
                  <w:vAlign w:val="center"/>
                </w:tcPr>
                <w:p w14:paraId="32CA2A59" w14:textId="417585E6" w:rsidR="00012E65" w:rsidRPr="00462549" w:rsidRDefault="00012E65" w:rsidP="007219CD">
                  <w:pPr>
                    <w:spacing w:before="60"/>
                    <w:jc w:val="center"/>
                    <w:rPr>
                      <w:rFonts w:ascii="Times New Roman" w:hAnsi="Times New Roman"/>
                      <w:iCs/>
                      <w:sz w:val="20"/>
                      <w:szCs w:val="20"/>
                    </w:rPr>
                  </w:pPr>
                  <w:r>
                    <w:rPr>
                      <w:rFonts w:ascii="Times New Roman" w:hAnsi="Times New Roman"/>
                      <w:iCs/>
                      <w:sz w:val="20"/>
                      <w:szCs w:val="20"/>
                    </w:rPr>
                    <w:t xml:space="preserve">Korekta współczynnikiem </w:t>
                  </w:r>
                  <w:r w:rsidR="007C5CA6">
                    <w:rPr>
                      <w:rFonts w:ascii="Times New Roman" w:hAnsi="Times New Roman"/>
                      <w:iCs/>
                      <w:sz w:val="20"/>
                      <w:szCs w:val="20"/>
                    </w:rPr>
                    <w:t>1,00</w:t>
                  </w:r>
                </w:p>
              </w:tc>
            </w:tr>
          </w:tbl>
          <w:p w14:paraId="26EE84AD" w14:textId="0F309A6A" w:rsidR="00B92BD3" w:rsidRPr="00905241" w:rsidRDefault="002C7581" w:rsidP="00BA5A17">
            <w:pPr>
              <w:spacing w:before="240" w:line="240" w:lineRule="auto"/>
              <w:jc w:val="both"/>
              <w:rPr>
                <w:rFonts w:ascii="Times New Roman" w:hAnsi="Times New Roman"/>
                <w:b/>
                <w:u w:val="single"/>
              </w:rPr>
            </w:pPr>
            <w:r>
              <w:rPr>
                <w:rFonts w:ascii="Times New Roman" w:hAnsi="Times New Roman"/>
                <w:b/>
                <w:u w:val="single"/>
              </w:rPr>
              <w:t xml:space="preserve">V. </w:t>
            </w:r>
            <w:r w:rsidR="00B92BD3" w:rsidRPr="00905241">
              <w:rPr>
                <w:rFonts w:ascii="Times New Roman" w:hAnsi="Times New Roman"/>
                <w:b/>
                <w:u w:val="single"/>
              </w:rPr>
              <w:t xml:space="preserve">System wsparcia </w:t>
            </w:r>
            <w:r w:rsidR="00012E65">
              <w:rPr>
                <w:rFonts w:ascii="Times New Roman" w:hAnsi="Times New Roman"/>
                <w:b/>
                <w:u w:val="single"/>
              </w:rPr>
              <w:t xml:space="preserve">operacyjnego </w:t>
            </w:r>
            <w:r w:rsidR="00B92BD3" w:rsidRPr="00905241">
              <w:rPr>
                <w:rFonts w:ascii="Times New Roman" w:hAnsi="Times New Roman"/>
                <w:b/>
                <w:u w:val="single"/>
              </w:rPr>
              <w:t>umożliwiając</w:t>
            </w:r>
            <w:r w:rsidR="00DA7D53">
              <w:rPr>
                <w:rFonts w:ascii="Times New Roman" w:hAnsi="Times New Roman"/>
                <w:b/>
                <w:u w:val="single"/>
              </w:rPr>
              <w:t>y</w:t>
            </w:r>
            <w:r w:rsidR="00B92BD3" w:rsidRPr="00905241">
              <w:rPr>
                <w:rFonts w:ascii="Times New Roman" w:hAnsi="Times New Roman"/>
                <w:b/>
                <w:u w:val="single"/>
              </w:rPr>
              <w:t xml:space="preserve"> pokrycie uzasadnionych kosztów operacyjnych dla instalacji OZE po zakończeniu 15</w:t>
            </w:r>
            <w:r>
              <w:rPr>
                <w:rFonts w:ascii="Times New Roman" w:hAnsi="Times New Roman"/>
                <w:b/>
                <w:u w:val="single"/>
              </w:rPr>
              <w:t>-</w:t>
            </w:r>
            <w:r w:rsidR="00B92BD3" w:rsidRPr="00905241">
              <w:rPr>
                <w:rFonts w:ascii="Times New Roman" w:hAnsi="Times New Roman"/>
                <w:b/>
                <w:u w:val="single"/>
              </w:rPr>
              <w:t>letniego okresu wsparcia</w:t>
            </w:r>
          </w:p>
          <w:p w14:paraId="3913607A" w14:textId="6851176C" w:rsidR="00241E31" w:rsidRPr="00C9657F" w:rsidRDefault="00241E31" w:rsidP="001551A5">
            <w:pPr>
              <w:spacing w:after="120" w:line="240" w:lineRule="auto"/>
              <w:jc w:val="both"/>
              <w:rPr>
                <w:rFonts w:ascii="Times New Roman" w:hAnsi="Times New Roman"/>
              </w:rPr>
            </w:pPr>
            <w:r w:rsidRPr="00C9657F">
              <w:rPr>
                <w:rFonts w:ascii="Times New Roman" w:hAnsi="Times New Roman"/>
              </w:rPr>
              <w:t xml:space="preserve">W celu umożliwienia pokrycia uzasadnionych kosztów operacyjnych dla </w:t>
            </w:r>
            <w:r w:rsidR="00895789" w:rsidRPr="004B458B">
              <w:rPr>
                <w:rFonts w:ascii="Times New Roman" w:hAnsi="Times New Roman"/>
                <w:bCs/>
              </w:rPr>
              <w:t xml:space="preserve">technologii: elektrowni wodnych, </w:t>
            </w:r>
            <w:proofErr w:type="spellStart"/>
            <w:r w:rsidR="00895789" w:rsidRPr="004B458B">
              <w:rPr>
                <w:rFonts w:ascii="Times New Roman" w:hAnsi="Times New Roman"/>
                <w:bCs/>
              </w:rPr>
              <w:t>biomasowych</w:t>
            </w:r>
            <w:proofErr w:type="spellEnd"/>
            <w:r w:rsidR="00895789" w:rsidRPr="004B458B">
              <w:rPr>
                <w:rFonts w:ascii="Times New Roman" w:hAnsi="Times New Roman"/>
                <w:bCs/>
              </w:rPr>
              <w:t xml:space="preserve"> </w:t>
            </w:r>
            <w:r w:rsidR="00895789" w:rsidRPr="004B458B">
              <w:rPr>
                <w:rFonts w:ascii="Times New Roman" w:hAnsi="Times New Roman"/>
                <w:bCs/>
              </w:rPr>
              <w:br/>
              <w:t xml:space="preserve">i biogazowych oraz w przedziałach </w:t>
            </w:r>
            <w:proofErr w:type="spellStart"/>
            <w:r w:rsidR="00895789" w:rsidRPr="004B458B">
              <w:rPr>
                <w:rFonts w:ascii="Times New Roman" w:hAnsi="Times New Roman"/>
                <w:bCs/>
              </w:rPr>
              <w:t>mocowych</w:t>
            </w:r>
            <w:proofErr w:type="spellEnd"/>
            <w:r w:rsidR="00895789" w:rsidRPr="004B458B">
              <w:rPr>
                <w:rFonts w:ascii="Times New Roman" w:hAnsi="Times New Roman"/>
                <w:bCs/>
              </w:rPr>
              <w:t xml:space="preserve"> uzasadniających dodatkowe różnicowanie poziomu wsparcia w ramach tych technologii</w:t>
            </w:r>
            <w:r w:rsidR="00895789" w:rsidRPr="008034F1" w:rsidDel="00B95595">
              <w:rPr>
                <w:rFonts w:ascii="Times New Roman" w:hAnsi="Times New Roman"/>
              </w:rPr>
              <w:t xml:space="preserve"> </w:t>
            </w:r>
            <w:r>
              <w:rPr>
                <w:rFonts w:ascii="Times New Roman" w:hAnsi="Times New Roman"/>
              </w:rPr>
              <w:t xml:space="preserve">które </w:t>
            </w:r>
            <w:r w:rsidRPr="00C9657F">
              <w:rPr>
                <w:rFonts w:ascii="Times New Roman" w:hAnsi="Times New Roman"/>
              </w:rPr>
              <w:t>po zakończeniu 15</w:t>
            </w:r>
            <w:r w:rsidR="00C9114F">
              <w:rPr>
                <w:rFonts w:ascii="Times New Roman" w:hAnsi="Times New Roman"/>
              </w:rPr>
              <w:t>-</w:t>
            </w:r>
            <w:r w:rsidRPr="00C9657F">
              <w:rPr>
                <w:rFonts w:ascii="Times New Roman" w:hAnsi="Times New Roman"/>
              </w:rPr>
              <w:t xml:space="preserve">letniego okresu wsparcia (w postaci świadectw pochodzenia lub prawa do korzystania z systemu FIT/FIP lub systemu aukcyjnego), są </w:t>
            </w:r>
            <w:r>
              <w:rPr>
                <w:rFonts w:ascii="Times New Roman" w:hAnsi="Times New Roman"/>
              </w:rPr>
              <w:t xml:space="preserve">utrzymane </w:t>
            </w:r>
            <w:r w:rsidRPr="00C9657F">
              <w:rPr>
                <w:rFonts w:ascii="Times New Roman" w:hAnsi="Times New Roman"/>
              </w:rPr>
              <w:t>w stanie technicznym umożliwiającym ich dalszą eksploatację przez kolejne 10 lat, niezbędne jest ustanowienie nowego, dedykowanego tym instalacjom systemu wsparcia</w:t>
            </w:r>
            <w:r w:rsidR="00BF5EB5">
              <w:rPr>
                <w:rFonts w:ascii="Times New Roman" w:hAnsi="Times New Roman"/>
              </w:rPr>
              <w:t xml:space="preserve"> </w:t>
            </w:r>
            <w:r w:rsidR="00012E65">
              <w:rPr>
                <w:rFonts w:ascii="Times New Roman" w:hAnsi="Times New Roman"/>
              </w:rPr>
              <w:t>operacyjnego</w:t>
            </w:r>
            <w:r w:rsidRPr="00C9657F">
              <w:rPr>
                <w:rFonts w:ascii="Times New Roman" w:hAnsi="Times New Roman"/>
              </w:rPr>
              <w:t>, zapewniającego rentowność produkcji energii poprzez pokrycie różnicy pomiędzy kosztami operacyjnymi a przychodami ze sprzedaży energii po cenie rynkowej</w:t>
            </w:r>
            <w:r w:rsidR="00EB7312">
              <w:rPr>
                <w:rFonts w:ascii="Times New Roman" w:hAnsi="Times New Roman"/>
              </w:rPr>
              <w:t xml:space="preserve"> (premia)</w:t>
            </w:r>
            <w:r w:rsidRPr="00C9657F">
              <w:rPr>
                <w:rFonts w:ascii="Times New Roman" w:hAnsi="Times New Roman"/>
              </w:rPr>
              <w:t xml:space="preserve">. </w:t>
            </w:r>
          </w:p>
          <w:p w14:paraId="718341D7" w14:textId="36861150" w:rsidR="00241E31" w:rsidRPr="000D3F79" w:rsidRDefault="00241E31">
            <w:pPr>
              <w:spacing w:line="240" w:lineRule="auto"/>
              <w:jc w:val="both"/>
              <w:rPr>
                <w:rFonts w:ascii="Times New Roman" w:hAnsi="Times New Roman"/>
                <w:bCs/>
              </w:rPr>
            </w:pPr>
            <w:r w:rsidRPr="003945C4">
              <w:rPr>
                <w:rFonts w:ascii="Times New Roman" w:hAnsi="Times New Roman"/>
              </w:rPr>
              <w:t xml:space="preserve">Założenia </w:t>
            </w:r>
            <w:r w:rsidRPr="000D3F79">
              <w:rPr>
                <w:rFonts w:ascii="Times New Roman" w:hAnsi="Times New Roman"/>
                <w:bCs/>
              </w:rPr>
              <w:t>systemu wsparcia</w:t>
            </w:r>
            <w:r w:rsidR="00BF5EB5">
              <w:rPr>
                <w:rFonts w:ascii="Times New Roman" w:hAnsi="Times New Roman"/>
                <w:bCs/>
              </w:rPr>
              <w:t xml:space="preserve"> </w:t>
            </w:r>
            <w:r w:rsidR="00012E65">
              <w:rPr>
                <w:rFonts w:ascii="Times New Roman" w:hAnsi="Times New Roman"/>
                <w:bCs/>
              </w:rPr>
              <w:t>operacyjnego</w:t>
            </w:r>
            <w:r w:rsidR="00012E65" w:rsidRPr="000D3F79">
              <w:rPr>
                <w:rFonts w:ascii="Times New Roman" w:hAnsi="Times New Roman"/>
                <w:bCs/>
              </w:rPr>
              <w:t xml:space="preserve"> </w:t>
            </w:r>
            <w:r w:rsidRPr="000D3F79">
              <w:rPr>
                <w:rFonts w:ascii="Times New Roman" w:hAnsi="Times New Roman"/>
                <w:bCs/>
              </w:rPr>
              <w:t>umożliwiającego pokrycie uzasadnionych kosztów operacyjnych dla instalacji OZE po zakończeniu 15</w:t>
            </w:r>
            <w:r w:rsidR="00C9114F">
              <w:rPr>
                <w:rFonts w:ascii="Times New Roman" w:hAnsi="Times New Roman"/>
                <w:bCs/>
              </w:rPr>
              <w:t>-</w:t>
            </w:r>
            <w:r w:rsidRPr="000D3F79">
              <w:rPr>
                <w:rFonts w:ascii="Times New Roman" w:hAnsi="Times New Roman"/>
                <w:bCs/>
              </w:rPr>
              <w:t>letniego okresu wsparcia:</w:t>
            </w:r>
          </w:p>
          <w:p w14:paraId="1728198F" w14:textId="57BE72FE" w:rsidR="00241E31" w:rsidRPr="000D3F79" w:rsidRDefault="007C225E" w:rsidP="001551A5">
            <w:pPr>
              <w:pStyle w:val="Tekstkomentarza"/>
              <w:numPr>
                <w:ilvl w:val="0"/>
                <w:numId w:val="131"/>
              </w:numPr>
              <w:spacing w:line="240" w:lineRule="auto"/>
              <w:contextualSpacing/>
              <w:jc w:val="both"/>
              <w:rPr>
                <w:rFonts w:ascii="Times New Roman" w:hAnsi="Times New Roman"/>
                <w:bCs/>
                <w:sz w:val="22"/>
                <w:szCs w:val="22"/>
              </w:rPr>
            </w:pPr>
            <w:r>
              <w:rPr>
                <w:rFonts w:ascii="Times New Roman" w:hAnsi="Times New Roman"/>
                <w:bCs/>
                <w:sz w:val="22"/>
                <w:szCs w:val="22"/>
              </w:rPr>
              <w:t>w</w:t>
            </w:r>
            <w:r w:rsidRPr="000D3F79">
              <w:rPr>
                <w:rFonts w:ascii="Times New Roman" w:hAnsi="Times New Roman"/>
                <w:bCs/>
                <w:sz w:val="22"/>
                <w:szCs w:val="22"/>
              </w:rPr>
              <w:t xml:space="preserve">sparcie </w:t>
            </w:r>
            <w:r w:rsidR="00895789" w:rsidRPr="000D3F79">
              <w:rPr>
                <w:rFonts w:ascii="Times New Roman" w:hAnsi="Times New Roman"/>
                <w:bCs/>
                <w:sz w:val="22"/>
                <w:szCs w:val="22"/>
              </w:rPr>
              <w:t>nie</w:t>
            </w:r>
            <w:r w:rsidR="00241E31" w:rsidRPr="000D3F79">
              <w:rPr>
                <w:rFonts w:ascii="Times New Roman" w:hAnsi="Times New Roman"/>
                <w:bCs/>
                <w:sz w:val="22"/>
                <w:szCs w:val="22"/>
              </w:rPr>
              <w:t xml:space="preserve"> może być łączone dla tego samego okresu z innym wsparciem operacyjnym</w:t>
            </w:r>
            <w:r w:rsidR="002740E5">
              <w:rPr>
                <w:rFonts w:ascii="Times New Roman" w:hAnsi="Times New Roman"/>
                <w:bCs/>
                <w:sz w:val="22"/>
                <w:szCs w:val="22"/>
              </w:rPr>
              <w:t xml:space="preserve"> </w:t>
            </w:r>
            <w:r w:rsidR="00241E31" w:rsidRPr="000D3F79">
              <w:rPr>
                <w:rFonts w:ascii="Times New Roman" w:hAnsi="Times New Roman"/>
                <w:bCs/>
                <w:sz w:val="22"/>
                <w:szCs w:val="22"/>
              </w:rPr>
              <w:t>(np. rynek mocy, wsparcie dla wysokosprawnej kogeneracji)</w:t>
            </w:r>
            <w:r w:rsidR="00FD1373">
              <w:rPr>
                <w:rFonts w:ascii="Times New Roman" w:hAnsi="Times New Roman"/>
                <w:bCs/>
                <w:sz w:val="22"/>
                <w:szCs w:val="22"/>
              </w:rPr>
              <w:t>;</w:t>
            </w:r>
          </w:p>
          <w:p w14:paraId="78693021" w14:textId="404E6B91" w:rsidR="00241E31" w:rsidRPr="000D3F79" w:rsidRDefault="007C225E" w:rsidP="001551A5">
            <w:pPr>
              <w:pStyle w:val="Tekstkomentarza"/>
              <w:numPr>
                <w:ilvl w:val="0"/>
                <w:numId w:val="131"/>
              </w:numPr>
              <w:spacing w:line="240" w:lineRule="auto"/>
              <w:contextualSpacing/>
              <w:jc w:val="both"/>
              <w:rPr>
                <w:rFonts w:ascii="Times New Roman" w:hAnsi="Times New Roman"/>
                <w:bCs/>
                <w:sz w:val="22"/>
                <w:szCs w:val="22"/>
              </w:rPr>
            </w:pPr>
            <w:r>
              <w:rPr>
                <w:rFonts w:ascii="Times New Roman" w:hAnsi="Times New Roman"/>
                <w:bCs/>
                <w:sz w:val="22"/>
                <w:szCs w:val="22"/>
              </w:rPr>
              <w:lastRenderedPageBreak/>
              <w:t>w</w:t>
            </w:r>
            <w:r w:rsidRPr="000D3F79">
              <w:rPr>
                <w:rFonts w:ascii="Times New Roman" w:hAnsi="Times New Roman"/>
                <w:bCs/>
                <w:sz w:val="22"/>
                <w:szCs w:val="22"/>
              </w:rPr>
              <w:t xml:space="preserve">sparcie </w:t>
            </w:r>
            <w:r w:rsidR="00241E31" w:rsidRPr="000D3F79">
              <w:rPr>
                <w:rFonts w:ascii="Times New Roman" w:hAnsi="Times New Roman"/>
                <w:bCs/>
                <w:sz w:val="22"/>
                <w:szCs w:val="22"/>
              </w:rPr>
              <w:t>może być łączone ze wsparciem inwestycyjnym (np. dotacje i pożyczki NFOŚiGW)</w:t>
            </w:r>
            <w:r w:rsidR="002740E5">
              <w:rPr>
                <w:rFonts w:ascii="Times New Roman" w:hAnsi="Times New Roman"/>
                <w:bCs/>
                <w:sz w:val="22"/>
                <w:szCs w:val="22"/>
              </w:rPr>
              <w:t xml:space="preserve"> </w:t>
            </w:r>
            <w:r w:rsidR="00241E31" w:rsidRPr="000D3F79">
              <w:rPr>
                <w:rFonts w:ascii="Times New Roman" w:hAnsi="Times New Roman"/>
                <w:bCs/>
                <w:sz w:val="22"/>
                <w:szCs w:val="22"/>
              </w:rPr>
              <w:t>i nie podlega regule kumulacji (wysokość wsparcia operacyjnego nie jest kalkulowana z uwzględnieniem kosztów inwestycyjnych, dlatego nie zaistnieje sytuacja podwójnego finansowania tych samych kosztów z obu instrumentów);</w:t>
            </w:r>
          </w:p>
          <w:p w14:paraId="76685021" w14:textId="1B8165BB" w:rsidR="00241E31" w:rsidRPr="000D3F79" w:rsidRDefault="007C225E" w:rsidP="004B458B">
            <w:pPr>
              <w:pStyle w:val="Tekstkomentarza"/>
              <w:numPr>
                <w:ilvl w:val="0"/>
                <w:numId w:val="131"/>
              </w:numPr>
              <w:spacing w:after="120" w:line="240" w:lineRule="auto"/>
              <w:contextualSpacing/>
              <w:jc w:val="both"/>
              <w:rPr>
                <w:rFonts w:ascii="Times New Roman" w:hAnsi="Times New Roman"/>
                <w:bCs/>
                <w:sz w:val="22"/>
                <w:szCs w:val="22"/>
              </w:rPr>
            </w:pPr>
            <w:r>
              <w:rPr>
                <w:rFonts w:ascii="Times New Roman" w:hAnsi="Times New Roman"/>
                <w:bCs/>
                <w:sz w:val="22"/>
                <w:szCs w:val="22"/>
              </w:rPr>
              <w:t>p</w:t>
            </w:r>
            <w:r w:rsidRPr="000D3F79">
              <w:rPr>
                <w:rFonts w:ascii="Times New Roman" w:hAnsi="Times New Roman"/>
                <w:bCs/>
                <w:sz w:val="22"/>
                <w:szCs w:val="22"/>
              </w:rPr>
              <w:t xml:space="preserve">oziom </w:t>
            </w:r>
            <w:r w:rsidR="00241E31" w:rsidRPr="000D3F79">
              <w:rPr>
                <w:rFonts w:ascii="Times New Roman" w:hAnsi="Times New Roman"/>
                <w:bCs/>
                <w:sz w:val="22"/>
                <w:szCs w:val="22"/>
              </w:rPr>
              <w:t xml:space="preserve">wsparcia określany jest dla </w:t>
            </w:r>
            <w:r w:rsidR="00BF5EB5">
              <w:rPr>
                <w:rFonts w:ascii="Times New Roman" w:hAnsi="Times New Roman"/>
                <w:bCs/>
                <w:sz w:val="22"/>
                <w:szCs w:val="22"/>
              </w:rPr>
              <w:t>trzech</w:t>
            </w:r>
            <w:r w:rsidR="00241E31" w:rsidRPr="000D3F79">
              <w:rPr>
                <w:rFonts w:ascii="Times New Roman" w:hAnsi="Times New Roman"/>
                <w:bCs/>
                <w:sz w:val="22"/>
                <w:szCs w:val="22"/>
              </w:rPr>
              <w:t xml:space="preserve"> technologii: elektrowni wodnych, </w:t>
            </w:r>
            <w:proofErr w:type="spellStart"/>
            <w:r w:rsidR="00241E31" w:rsidRPr="000D3F79">
              <w:rPr>
                <w:rFonts w:ascii="Times New Roman" w:hAnsi="Times New Roman"/>
                <w:bCs/>
                <w:sz w:val="22"/>
                <w:szCs w:val="22"/>
              </w:rPr>
              <w:t>biomasowych</w:t>
            </w:r>
            <w:proofErr w:type="spellEnd"/>
            <w:r w:rsidR="00BC3C85">
              <w:rPr>
                <w:rFonts w:ascii="Times New Roman" w:hAnsi="Times New Roman"/>
                <w:bCs/>
                <w:sz w:val="22"/>
                <w:szCs w:val="22"/>
              </w:rPr>
              <w:t xml:space="preserve"> </w:t>
            </w:r>
            <w:r w:rsidR="00241E31" w:rsidRPr="000D3F79">
              <w:rPr>
                <w:rFonts w:ascii="Times New Roman" w:hAnsi="Times New Roman"/>
                <w:bCs/>
                <w:sz w:val="22"/>
                <w:szCs w:val="22"/>
              </w:rPr>
              <w:t xml:space="preserve">i biogazowych oraz w przedziałach </w:t>
            </w:r>
            <w:proofErr w:type="spellStart"/>
            <w:r w:rsidR="00241E31" w:rsidRPr="000D3F79">
              <w:rPr>
                <w:rFonts w:ascii="Times New Roman" w:hAnsi="Times New Roman"/>
                <w:bCs/>
                <w:sz w:val="22"/>
                <w:szCs w:val="22"/>
              </w:rPr>
              <w:t>mocowych</w:t>
            </w:r>
            <w:proofErr w:type="spellEnd"/>
            <w:r w:rsidR="00241E31" w:rsidRPr="000D3F79">
              <w:rPr>
                <w:rFonts w:ascii="Times New Roman" w:hAnsi="Times New Roman"/>
                <w:bCs/>
                <w:sz w:val="22"/>
                <w:szCs w:val="22"/>
              </w:rPr>
              <w:t xml:space="preserve"> uzasadniających dodatkowe różnicowanie poziomu wsparcia w ramach tych technologii</w:t>
            </w:r>
            <w:r w:rsidR="00EF4AEA" w:rsidRPr="000D3F79">
              <w:rPr>
                <w:rFonts w:ascii="Times New Roman" w:hAnsi="Times New Roman"/>
                <w:bCs/>
                <w:sz w:val="22"/>
                <w:szCs w:val="22"/>
              </w:rPr>
              <w:t xml:space="preserve">. Z przeprowadzonych kalkulacji ekonomicznych wynika, że technologie te po zakończeniu okresu amortyzacji instalacji </w:t>
            </w:r>
            <w:r w:rsidR="008F1D29" w:rsidRPr="000D3F79">
              <w:rPr>
                <w:rFonts w:ascii="Times New Roman" w:hAnsi="Times New Roman"/>
                <w:bCs/>
                <w:sz w:val="22"/>
                <w:szCs w:val="22"/>
              </w:rPr>
              <w:t xml:space="preserve">nadal </w:t>
            </w:r>
            <w:r w:rsidR="00EF4AEA" w:rsidRPr="000D3F79">
              <w:rPr>
                <w:rFonts w:ascii="Times New Roman" w:hAnsi="Times New Roman"/>
                <w:bCs/>
                <w:sz w:val="22"/>
                <w:szCs w:val="22"/>
              </w:rPr>
              <w:t xml:space="preserve">mogą </w:t>
            </w:r>
            <w:r w:rsidR="008F1D29" w:rsidRPr="000D3F79">
              <w:rPr>
                <w:rFonts w:ascii="Times New Roman" w:hAnsi="Times New Roman"/>
                <w:bCs/>
                <w:sz w:val="22"/>
                <w:szCs w:val="22"/>
              </w:rPr>
              <w:t xml:space="preserve">wymagać </w:t>
            </w:r>
            <w:r w:rsidR="00EF4AEA" w:rsidRPr="000D3F79">
              <w:rPr>
                <w:rFonts w:ascii="Times New Roman" w:hAnsi="Times New Roman"/>
                <w:bCs/>
                <w:sz w:val="22"/>
                <w:szCs w:val="22"/>
              </w:rPr>
              <w:t xml:space="preserve">wsparcia przeznaczonego na pokrycie różnicy pomiędzy kosztami operacyjnymi a przychodami ze sprzedaży energii po cenie rynkowej. </w:t>
            </w:r>
            <w:r w:rsidR="00031A68">
              <w:rPr>
                <w:rFonts w:ascii="Times New Roman" w:hAnsi="Times New Roman"/>
                <w:bCs/>
                <w:sz w:val="22"/>
                <w:szCs w:val="22"/>
              </w:rPr>
              <w:t>W</w:t>
            </w:r>
            <w:r w:rsidR="00EF4AEA" w:rsidRPr="000D3F79">
              <w:rPr>
                <w:rFonts w:ascii="Times New Roman" w:hAnsi="Times New Roman"/>
                <w:bCs/>
                <w:sz w:val="22"/>
                <w:szCs w:val="22"/>
              </w:rPr>
              <w:t>ysokie koszty wiążą się z konieczności</w:t>
            </w:r>
            <w:r w:rsidR="008F1D29">
              <w:rPr>
                <w:rFonts w:ascii="Times New Roman" w:hAnsi="Times New Roman"/>
                <w:bCs/>
                <w:sz w:val="22"/>
                <w:szCs w:val="22"/>
              </w:rPr>
              <w:t>,</w:t>
            </w:r>
            <w:r w:rsidR="00EF4AEA" w:rsidRPr="000D3F79">
              <w:rPr>
                <w:rFonts w:ascii="Times New Roman" w:hAnsi="Times New Roman"/>
                <w:bCs/>
                <w:sz w:val="22"/>
                <w:szCs w:val="22"/>
              </w:rPr>
              <w:t xml:space="preserve"> w zależności od technologii, zakupu substratu, paliwa czy uiszczenia wysokich opłat </w:t>
            </w:r>
            <w:r w:rsidR="008F1D29">
              <w:rPr>
                <w:rFonts w:ascii="Times New Roman" w:hAnsi="Times New Roman"/>
                <w:bCs/>
                <w:sz w:val="22"/>
                <w:szCs w:val="22"/>
              </w:rPr>
              <w:t xml:space="preserve">i kosztów </w:t>
            </w:r>
            <w:r w:rsidR="00EF4AEA" w:rsidRPr="000D3F79">
              <w:rPr>
                <w:rFonts w:ascii="Times New Roman" w:hAnsi="Times New Roman"/>
                <w:bCs/>
                <w:sz w:val="22"/>
                <w:szCs w:val="22"/>
              </w:rPr>
              <w:t>związanych z użytkowaniem stopnia wodnego.</w:t>
            </w:r>
          </w:p>
          <w:p w14:paraId="1B3F20F3" w14:textId="1ECA7C45" w:rsidR="00C91144" w:rsidRPr="003945C4" w:rsidRDefault="00C91144" w:rsidP="00470260">
            <w:pPr>
              <w:spacing w:line="240" w:lineRule="auto"/>
              <w:jc w:val="both"/>
              <w:rPr>
                <w:rFonts w:ascii="Times New Roman" w:hAnsi="Times New Roman"/>
                <w:bCs/>
                <w:u w:val="single"/>
              </w:rPr>
            </w:pPr>
            <w:r w:rsidRPr="003945C4">
              <w:rPr>
                <w:rFonts w:ascii="Times New Roman" w:hAnsi="Times New Roman"/>
                <w:bCs/>
                <w:u w:val="single"/>
              </w:rPr>
              <w:t xml:space="preserve">Instalacje OZE o mocy zainstalowanej elektrycznej </w:t>
            </w:r>
            <w:r w:rsidR="004C7C6C">
              <w:rPr>
                <w:rFonts w:ascii="Times New Roman" w:hAnsi="Times New Roman"/>
                <w:bCs/>
                <w:u w:val="single"/>
              </w:rPr>
              <w:t xml:space="preserve">mniejszej </w:t>
            </w:r>
            <w:r w:rsidRPr="003945C4">
              <w:rPr>
                <w:rFonts w:ascii="Times New Roman" w:hAnsi="Times New Roman"/>
                <w:bCs/>
                <w:u w:val="single"/>
              </w:rPr>
              <w:t>niż</w:t>
            </w:r>
            <w:r w:rsidR="00AD7B1E">
              <w:rPr>
                <w:rFonts w:ascii="Times New Roman" w:hAnsi="Times New Roman"/>
                <w:bCs/>
                <w:u w:val="single"/>
              </w:rPr>
              <w:t xml:space="preserve"> </w:t>
            </w:r>
            <w:r w:rsidRPr="003945C4">
              <w:rPr>
                <w:rFonts w:ascii="Times New Roman" w:hAnsi="Times New Roman"/>
                <w:bCs/>
                <w:u w:val="single"/>
              </w:rPr>
              <w:t>1 MW</w:t>
            </w:r>
          </w:p>
          <w:p w14:paraId="18271E7A" w14:textId="10D2E99E" w:rsidR="00282CF3" w:rsidRDefault="00282CF3" w:rsidP="001551A5">
            <w:pPr>
              <w:spacing w:after="120" w:line="240" w:lineRule="auto"/>
              <w:jc w:val="both"/>
              <w:rPr>
                <w:rFonts w:ascii="Times New Roman" w:hAnsi="Times New Roman"/>
                <w:bCs/>
              </w:rPr>
            </w:pPr>
            <w:r>
              <w:rPr>
                <w:rFonts w:ascii="Times New Roman" w:hAnsi="Times New Roman"/>
                <w:bCs/>
              </w:rPr>
              <w:t xml:space="preserve">System wsparcia </w:t>
            </w:r>
            <w:r w:rsidR="00012E65">
              <w:rPr>
                <w:rFonts w:ascii="Times New Roman" w:hAnsi="Times New Roman"/>
                <w:bCs/>
              </w:rPr>
              <w:t xml:space="preserve">operacyjnego </w:t>
            </w:r>
            <w:r>
              <w:rPr>
                <w:rFonts w:ascii="Times New Roman" w:hAnsi="Times New Roman"/>
                <w:bCs/>
              </w:rPr>
              <w:t xml:space="preserve">ma w założeniu wspierać wytwórców w sposób analogiczny do systemów istniejących a także do systemu wsparcia modernizacji. Dlatego też </w:t>
            </w:r>
            <w:r w:rsidRPr="00282CF3">
              <w:rPr>
                <w:rFonts w:ascii="Times New Roman" w:hAnsi="Times New Roman"/>
                <w:bCs/>
              </w:rPr>
              <w:t>w zależności od mocy zainstalowanej wsparci</w:t>
            </w:r>
            <w:r w:rsidR="00012E65">
              <w:rPr>
                <w:rFonts w:ascii="Times New Roman" w:hAnsi="Times New Roman"/>
                <w:bCs/>
              </w:rPr>
              <w:t>e</w:t>
            </w:r>
            <w:r w:rsidRPr="00282CF3">
              <w:rPr>
                <w:rFonts w:ascii="Times New Roman" w:hAnsi="Times New Roman"/>
                <w:bCs/>
              </w:rPr>
              <w:t xml:space="preserve"> będzie udzielan</w:t>
            </w:r>
            <w:r w:rsidR="00012E65">
              <w:rPr>
                <w:rFonts w:ascii="Times New Roman" w:hAnsi="Times New Roman"/>
                <w:bCs/>
              </w:rPr>
              <w:t>e</w:t>
            </w:r>
            <w:r w:rsidRPr="00282CF3">
              <w:rPr>
                <w:rFonts w:ascii="Times New Roman" w:hAnsi="Times New Roman"/>
                <w:bCs/>
              </w:rPr>
              <w:t xml:space="preserve"> </w:t>
            </w:r>
            <w:r>
              <w:rPr>
                <w:rFonts w:ascii="Times New Roman" w:hAnsi="Times New Roman"/>
                <w:bCs/>
              </w:rPr>
              <w:t xml:space="preserve">dla instalacji </w:t>
            </w:r>
            <w:r w:rsidRPr="00282CF3">
              <w:rPr>
                <w:rFonts w:ascii="Times New Roman" w:hAnsi="Times New Roman"/>
                <w:bCs/>
              </w:rPr>
              <w:t>o mocy nie większej niż 1 MW</w:t>
            </w:r>
            <w:r>
              <w:rPr>
                <w:rFonts w:ascii="Times New Roman" w:hAnsi="Times New Roman"/>
                <w:bCs/>
              </w:rPr>
              <w:t>.</w:t>
            </w:r>
          </w:p>
          <w:p w14:paraId="72BBDC2C" w14:textId="77777777" w:rsidR="004212C7" w:rsidRPr="000D3F79" w:rsidRDefault="004212C7" w:rsidP="00470260">
            <w:pPr>
              <w:spacing w:line="240" w:lineRule="auto"/>
              <w:jc w:val="both"/>
              <w:rPr>
                <w:rFonts w:ascii="Times New Roman" w:hAnsi="Times New Roman"/>
                <w:bCs/>
              </w:rPr>
            </w:pPr>
            <w:r w:rsidRPr="000D3F79">
              <w:rPr>
                <w:rFonts w:ascii="Times New Roman" w:hAnsi="Times New Roman"/>
                <w:bCs/>
              </w:rPr>
              <w:t>Cechy systemu premii gwarantowanej:</w:t>
            </w:r>
          </w:p>
          <w:p w14:paraId="2BFA7700" w14:textId="639DDBD0"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w</w:t>
            </w:r>
            <w:r w:rsidRPr="000D3F79">
              <w:rPr>
                <w:rFonts w:ascii="Times New Roman" w:hAnsi="Times New Roman"/>
                <w:bCs/>
              </w:rPr>
              <w:t xml:space="preserve">sparcie </w:t>
            </w:r>
            <w:r w:rsidR="004212C7" w:rsidRPr="000D3F79">
              <w:rPr>
                <w:rFonts w:ascii="Times New Roman" w:hAnsi="Times New Roman"/>
                <w:bCs/>
              </w:rPr>
              <w:t>może być udzielane na 10 lat; wysokość wsparcia – inaczej niż w systemach FIT, FIP i aukcyjnym – nie jest gwarantowana dla całego okresu na poziomie, przy którym instalacja wchodzi do systemu</w:t>
            </w:r>
            <w:r w:rsidR="008C3407">
              <w:rPr>
                <w:rFonts w:ascii="Times New Roman" w:hAnsi="Times New Roman"/>
                <w:bCs/>
              </w:rPr>
              <w:t>. Wsparcie zależy bowiem od ceny energii na rynku;</w:t>
            </w:r>
          </w:p>
          <w:p w14:paraId="42B40DF2" w14:textId="01A097A3"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f</w:t>
            </w:r>
            <w:r w:rsidRPr="000D3F79">
              <w:rPr>
                <w:rFonts w:ascii="Times New Roman" w:hAnsi="Times New Roman"/>
                <w:bCs/>
              </w:rPr>
              <w:t xml:space="preserve">aktyczna </w:t>
            </w:r>
            <w:r w:rsidR="00DF5A5A">
              <w:rPr>
                <w:rFonts w:ascii="Times New Roman" w:hAnsi="Times New Roman"/>
                <w:bCs/>
              </w:rPr>
              <w:t xml:space="preserve">i zindywidualizowana </w:t>
            </w:r>
            <w:r w:rsidR="004212C7" w:rsidRPr="000D3F79">
              <w:rPr>
                <w:rFonts w:ascii="Times New Roman" w:hAnsi="Times New Roman"/>
                <w:bCs/>
              </w:rPr>
              <w:t>różnica między poziomem kosztów a ceną rynkową energii dla konkretnej instalacji nie jest weryfikowana;</w:t>
            </w:r>
          </w:p>
          <w:p w14:paraId="1087D9AE" w14:textId="4F954A3D" w:rsidR="004212C7" w:rsidRPr="000D3F79" w:rsidRDefault="00FD1373" w:rsidP="005337BC">
            <w:pPr>
              <w:numPr>
                <w:ilvl w:val="0"/>
                <w:numId w:val="131"/>
              </w:numPr>
              <w:spacing w:line="240" w:lineRule="auto"/>
              <w:jc w:val="both"/>
              <w:rPr>
                <w:rFonts w:ascii="Times New Roman" w:hAnsi="Times New Roman"/>
                <w:bCs/>
              </w:rPr>
            </w:pPr>
            <w:r>
              <w:rPr>
                <w:rFonts w:ascii="Times New Roman" w:hAnsi="Times New Roman"/>
                <w:bCs/>
              </w:rPr>
              <w:t>m</w:t>
            </w:r>
            <w:r w:rsidRPr="000D3F79">
              <w:rPr>
                <w:rFonts w:ascii="Times New Roman" w:hAnsi="Times New Roman"/>
                <w:bCs/>
              </w:rPr>
              <w:t xml:space="preserve">inister </w:t>
            </w:r>
            <w:r w:rsidR="004212C7" w:rsidRPr="000D3F79">
              <w:rPr>
                <w:rFonts w:ascii="Times New Roman" w:hAnsi="Times New Roman"/>
                <w:bCs/>
              </w:rPr>
              <w:t xml:space="preserve">właściwy do spraw </w:t>
            </w:r>
            <w:r w:rsidR="00EF4AEA" w:rsidRPr="000D3F79">
              <w:rPr>
                <w:rFonts w:ascii="Times New Roman" w:hAnsi="Times New Roman"/>
                <w:bCs/>
              </w:rPr>
              <w:t>klimatu</w:t>
            </w:r>
            <w:r w:rsidR="004212C7" w:rsidRPr="000D3F79">
              <w:rPr>
                <w:rFonts w:ascii="Times New Roman" w:hAnsi="Times New Roman"/>
                <w:bCs/>
              </w:rPr>
              <w:t xml:space="preserve"> określi w drodze rozporządzenia</w:t>
            </w:r>
            <w:r w:rsidR="00447C42" w:rsidRPr="000D3F79">
              <w:rPr>
                <w:rFonts w:ascii="Times New Roman" w:hAnsi="Times New Roman"/>
                <w:bCs/>
              </w:rPr>
              <w:t xml:space="preserve"> cenę referencyjną </w:t>
            </w:r>
            <w:r w:rsidR="004212C7" w:rsidRPr="000D3F79">
              <w:rPr>
                <w:rFonts w:ascii="Times New Roman" w:hAnsi="Times New Roman"/>
                <w:bCs/>
              </w:rPr>
              <w:t xml:space="preserve">w złotych za 1 MWh, </w:t>
            </w:r>
            <w:r>
              <w:rPr>
                <w:rFonts w:ascii="Times New Roman" w:hAnsi="Times New Roman"/>
                <w:bCs/>
              </w:rPr>
              <w:t>na kolejne lata</w:t>
            </w:r>
            <w:r w:rsidR="004212C7" w:rsidRPr="000D3F79">
              <w:rPr>
                <w:rFonts w:ascii="Times New Roman" w:hAnsi="Times New Roman"/>
                <w:bCs/>
              </w:rPr>
              <w:t xml:space="preserve"> </w:t>
            </w:r>
            <w:r w:rsidRPr="000D3F79">
              <w:rPr>
                <w:rFonts w:ascii="Times New Roman" w:hAnsi="Times New Roman"/>
                <w:bCs/>
              </w:rPr>
              <w:t>kalendarzow</w:t>
            </w:r>
            <w:r>
              <w:rPr>
                <w:rFonts w:ascii="Times New Roman" w:hAnsi="Times New Roman"/>
                <w:bCs/>
              </w:rPr>
              <w:t>e</w:t>
            </w:r>
            <w:r w:rsidR="004212C7" w:rsidRPr="000D3F79">
              <w:rPr>
                <w:rFonts w:ascii="Times New Roman" w:hAnsi="Times New Roman"/>
                <w:bCs/>
              </w:rPr>
              <w:t>, odrębnie dla instalacji OZE, w których stosuje się poszczególne rodzaje odnawialnych źródeł energii</w:t>
            </w:r>
            <w:r w:rsidR="004C7C6C">
              <w:rPr>
                <w:rFonts w:ascii="Times New Roman" w:hAnsi="Times New Roman"/>
                <w:bCs/>
              </w:rPr>
              <w:t xml:space="preserve"> oraz w przedziałach mocy</w:t>
            </w:r>
            <w:r w:rsidR="004212C7" w:rsidRPr="000D3F79">
              <w:rPr>
                <w:rFonts w:ascii="Times New Roman" w:hAnsi="Times New Roman"/>
                <w:bCs/>
              </w:rPr>
              <w:t xml:space="preserve">; przy czym jeśli z analizy kosztów operacyjnych dla poszczególnych typów instalacji, ceny rynkowej i relacji wzajemnej tych parametrów wynika, że ustalony dla poprzedniego roku poziom wsparcia </w:t>
            </w:r>
            <w:r w:rsidR="00734CC0">
              <w:rPr>
                <w:rFonts w:ascii="Times New Roman" w:hAnsi="Times New Roman"/>
                <w:bCs/>
              </w:rPr>
              <w:t>będzie</w:t>
            </w:r>
            <w:r>
              <w:rPr>
                <w:rFonts w:ascii="Times New Roman" w:hAnsi="Times New Roman"/>
                <w:bCs/>
              </w:rPr>
              <w:t xml:space="preserve"> wymagać zmiany, wówczas minister znowelizuje rozporządzenie</w:t>
            </w:r>
            <w:r w:rsidR="004212C7" w:rsidRPr="000D3F79">
              <w:rPr>
                <w:rFonts w:ascii="Times New Roman" w:hAnsi="Times New Roman"/>
                <w:bCs/>
              </w:rPr>
              <w:t>;</w:t>
            </w:r>
          </w:p>
          <w:p w14:paraId="46B696BE" w14:textId="048671F5" w:rsidR="004212C7" w:rsidRPr="000D3F79" w:rsidRDefault="00FD1373" w:rsidP="004B458B">
            <w:pPr>
              <w:numPr>
                <w:ilvl w:val="0"/>
                <w:numId w:val="131"/>
              </w:numPr>
              <w:spacing w:after="120" w:line="240" w:lineRule="auto"/>
              <w:jc w:val="both"/>
              <w:rPr>
                <w:rFonts w:ascii="Times New Roman" w:hAnsi="Times New Roman"/>
                <w:bCs/>
              </w:rPr>
            </w:pPr>
            <w:r>
              <w:rPr>
                <w:rFonts w:ascii="Times New Roman" w:hAnsi="Times New Roman"/>
                <w:bCs/>
              </w:rPr>
              <w:t>p</w:t>
            </w:r>
            <w:r w:rsidRPr="000D3F79">
              <w:rPr>
                <w:rFonts w:ascii="Times New Roman" w:hAnsi="Times New Roman"/>
                <w:bCs/>
              </w:rPr>
              <w:t xml:space="preserve">rzy </w:t>
            </w:r>
            <w:r w:rsidR="004212C7" w:rsidRPr="000D3F79">
              <w:rPr>
                <w:rFonts w:ascii="Times New Roman" w:hAnsi="Times New Roman"/>
                <w:bCs/>
              </w:rPr>
              <w:t xml:space="preserve">określaniu wartości </w:t>
            </w:r>
            <w:r w:rsidR="00B741C1">
              <w:rPr>
                <w:rFonts w:ascii="Times New Roman" w:hAnsi="Times New Roman"/>
                <w:bCs/>
              </w:rPr>
              <w:t>ceny referencyjnej</w:t>
            </w:r>
            <w:r w:rsidR="004212C7" w:rsidRPr="000D3F79">
              <w:rPr>
                <w:rFonts w:ascii="Times New Roman" w:hAnsi="Times New Roman"/>
                <w:bCs/>
              </w:rPr>
              <w:t xml:space="preserve"> minister właściwy do spraw </w:t>
            </w:r>
            <w:r w:rsidR="00903791" w:rsidRPr="000D3F79">
              <w:rPr>
                <w:rFonts w:ascii="Times New Roman" w:hAnsi="Times New Roman"/>
                <w:bCs/>
              </w:rPr>
              <w:t xml:space="preserve">klimatu </w:t>
            </w:r>
            <w:r w:rsidR="004212C7" w:rsidRPr="000D3F79">
              <w:rPr>
                <w:rFonts w:ascii="Times New Roman" w:hAnsi="Times New Roman"/>
                <w:bCs/>
              </w:rPr>
              <w:t xml:space="preserve">bierze pod uwagę </w:t>
            </w:r>
            <w:r w:rsidR="00B16BC7" w:rsidRPr="000D3F79">
              <w:rPr>
                <w:rFonts w:ascii="Times New Roman" w:hAnsi="Times New Roman"/>
                <w:bCs/>
              </w:rPr>
              <w:t>koszt</w:t>
            </w:r>
            <w:r w:rsidR="00B16BC7">
              <w:rPr>
                <w:rFonts w:ascii="Times New Roman" w:hAnsi="Times New Roman"/>
                <w:bCs/>
              </w:rPr>
              <w:t>y</w:t>
            </w:r>
            <w:r w:rsidR="00B16BC7" w:rsidRPr="000D3F79">
              <w:rPr>
                <w:rFonts w:ascii="Times New Roman" w:hAnsi="Times New Roman"/>
                <w:bCs/>
              </w:rPr>
              <w:t xml:space="preserve"> operacyjn</w:t>
            </w:r>
            <w:r w:rsidR="00B16BC7">
              <w:rPr>
                <w:rFonts w:ascii="Times New Roman" w:hAnsi="Times New Roman"/>
                <w:bCs/>
              </w:rPr>
              <w:t>e</w:t>
            </w:r>
            <w:r w:rsidR="00B16BC7" w:rsidRPr="000D3F79">
              <w:rPr>
                <w:rFonts w:ascii="Times New Roman" w:hAnsi="Times New Roman"/>
                <w:bCs/>
              </w:rPr>
              <w:t xml:space="preserve"> </w:t>
            </w:r>
            <w:r w:rsidR="004212C7" w:rsidRPr="000D3F79">
              <w:rPr>
                <w:rFonts w:ascii="Times New Roman" w:hAnsi="Times New Roman"/>
                <w:bCs/>
              </w:rPr>
              <w:t>wytwarzania energii elektrycznej z OZE w poszczególnych technologiach objętych systemem wsparcia.</w:t>
            </w:r>
          </w:p>
          <w:p w14:paraId="7584F104" w14:textId="20A20FC8" w:rsidR="004212C7" w:rsidRPr="00470260" w:rsidRDefault="004212C7" w:rsidP="00470260">
            <w:pPr>
              <w:spacing w:line="240" w:lineRule="auto"/>
              <w:jc w:val="both"/>
              <w:rPr>
                <w:rFonts w:ascii="Times New Roman" w:hAnsi="Times New Roman"/>
                <w:bCs/>
                <w:u w:val="single"/>
              </w:rPr>
            </w:pPr>
            <w:r w:rsidRPr="00470260">
              <w:rPr>
                <w:rFonts w:ascii="Times New Roman" w:hAnsi="Times New Roman"/>
                <w:bCs/>
                <w:u w:val="single"/>
              </w:rPr>
              <w:t xml:space="preserve">Instalacje OZE o mocy zainstalowanej elektrycznej </w:t>
            </w:r>
            <w:r w:rsidR="00012E65">
              <w:rPr>
                <w:rFonts w:ascii="Times New Roman" w:hAnsi="Times New Roman"/>
                <w:bCs/>
                <w:u w:val="single"/>
              </w:rPr>
              <w:t xml:space="preserve">większej </w:t>
            </w:r>
            <w:r w:rsidRPr="00470260">
              <w:rPr>
                <w:rFonts w:ascii="Times New Roman" w:hAnsi="Times New Roman"/>
                <w:bCs/>
                <w:u w:val="single"/>
              </w:rPr>
              <w:t>niż 1 MW</w:t>
            </w:r>
          </w:p>
          <w:p w14:paraId="081F2383" w14:textId="346FB25A" w:rsidR="004212C7" w:rsidRDefault="004212C7" w:rsidP="004B458B">
            <w:pPr>
              <w:spacing w:after="120" w:line="240" w:lineRule="auto"/>
              <w:jc w:val="both"/>
              <w:rPr>
                <w:rFonts w:ascii="Times New Roman" w:hAnsi="Times New Roman"/>
                <w:bCs/>
              </w:rPr>
            </w:pPr>
            <w:r w:rsidRPr="00470260">
              <w:rPr>
                <w:rFonts w:ascii="Times New Roman" w:hAnsi="Times New Roman"/>
                <w:bCs/>
              </w:rPr>
              <w:t>Z art. 4 ust. 4 RED II wynika obowiązek udzielania wsparcia w drodze konkurencyjnej procedury aukcyjnej. RED II przewiduje odstępstwo od tego obowiązku jedynie w odniesieniu do małych instalacji i projektów demonstracyjnych. Dlatego wsparcie dla tych instalacji przewiduje udział w systemie aukcyjnym.</w:t>
            </w:r>
          </w:p>
          <w:p w14:paraId="16392BB3" w14:textId="77777777" w:rsidR="00A84B6C" w:rsidRPr="00734CC0" w:rsidRDefault="00A84B6C" w:rsidP="00470260">
            <w:pPr>
              <w:spacing w:line="240" w:lineRule="auto"/>
              <w:jc w:val="both"/>
              <w:rPr>
                <w:rStyle w:val="markedcontent"/>
                <w:rFonts w:ascii="Times New Roman" w:hAnsi="Times New Roman"/>
                <w:u w:val="single"/>
              </w:rPr>
            </w:pPr>
            <w:r w:rsidRPr="00734CC0">
              <w:rPr>
                <w:rStyle w:val="markedcontent"/>
                <w:rFonts w:ascii="Times New Roman" w:hAnsi="Times New Roman"/>
                <w:u w:val="single"/>
              </w:rPr>
              <w:t>Pomoc publiczna</w:t>
            </w:r>
          </w:p>
          <w:p w14:paraId="5B8EA69E" w14:textId="77777777" w:rsidR="00727CA3" w:rsidRDefault="00A84B6C" w:rsidP="005A707A">
            <w:pPr>
              <w:spacing w:after="120" w:line="240" w:lineRule="auto"/>
              <w:jc w:val="both"/>
              <w:rPr>
                <w:rStyle w:val="markedcontent"/>
                <w:rFonts w:ascii="Times New Roman" w:hAnsi="Times New Roman"/>
              </w:rPr>
            </w:pPr>
            <w:r w:rsidRPr="004B458B">
              <w:rPr>
                <w:rStyle w:val="markedcontent"/>
                <w:rFonts w:ascii="Times New Roman" w:hAnsi="Times New Roman"/>
              </w:rPr>
              <w:t xml:space="preserve">Wsparcie przewidziane w ramach każdego z </w:t>
            </w:r>
            <w:r w:rsidR="00250BFB" w:rsidRPr="004B458B">
              <w:rPr>
                <w:rStyle w:val="markedcontent"/>
                <w:rFonts w:ascii="Times New Roman" w:hAnsi="Times New Roman"/>
              </w:rPr>
              <w:t xml:space="preserve">dwóch </w:t>
            </w:r>
            <w:r w:rsidRPr="004B458B">
              <w:rPr>
                <w:rStyle w:val="markedcontent"/>
                <w:rFonts w:ascii="Times New Roman" w:hAnsi="Times New Roman"/>
              </w:rPr>
              <w:t xml:space="preserve">powyższych mechanizmów </w:t>
            </w:r>
            <w:r w:rsidR="00DF5A5A">
              <w:rPr>
                <w:rStyle w:val="markedcontent"/>
                <w:rFonts w:ascii="Times New Roman" w:hAnsi="Times New Roman"/>
              </w:rPr>
              <w:t xml:space="preserve">(modernizacji oraz wsparcia </w:t>
            </w:r>
            <w:r w:rsidR="00012E65">
              <w:rPr>
                <w:rStyle w:val="markedcontent"/>
                <w:rFonts w:ascii="Times New Roman" w:hAnsi="Times New Roman"/>
              </w:rPr>
              <w:t>operacyjnego</w:t>
            </w:r>
            <w:r w:rsidR="00DF5A5A">
              <w:rPr>
                <w:rStyle w:val="markedcontent"/>
                <w:rFonts w:ascii="Times New Roman" w:hAnsi="Times New Roman"/>
              </w:rPr>
              <w:t xml:space="preserve">) </w:t>
            </w:r>
            <w:r w:rsidRPr="004B458B">
              <w:rPr>
                <w:rStyle w:val="markedcontent"/>
                <w:rFonts w:ascii="Times New Roman" w:hAnsi="Times New Roman"/>
              </w:rPr>
              <w:t xml:space="preserve">stanowi pomoc publiczną, podlega więc </w:t>
            </w:r>
            <w:r w:rsidR="00250BFB">
              <w:rPr>
                <w:rStyle w:val="markedcontent"/>
                <w:rFonts w:ascii="Times New Roman" w:hAnsi="Times New Roman"/>
              </w:rPr>
              <w:t xml:space="preserve">notyfikacji </w:t>
            </w:r>
            <w:r w:rsidRPr="004B458B">
              <w:rPr>
                <w:rStyle w:val="markedcontent"/>
                <w:rFonts w:ascii="Times New Roman" w:hAnsi="Times New Roman"/>
              </w:rPr>
              <w:t>i ocenie Komisji Europejskiej pod kątem zgodności z warunkami dopuszczalności tej pomocy określonymi w przepisach unijnych</w:t>
            </w:r>
            <w:r w:rsidR="00250BFB">
              <w:rPr>
                <w:rStyle w:val="markedcontent"/>
                <w:rFonts w:ascii="Times New Roman" w:hAnsi="Times New Roman"/>
              </w:rPr>
              <w:t xml:space="preserve"> i nie będzie mogło być udzielone przed udzieleniem formalnej zgody.</w:t>
            </w:r>
          </w:p>
          <w:p w14:paraId="18F24EF5" w14:textId="6908D21A" w:rsidR="008F26C7" w:rsidRDefault="008F26C7" w:rsidP="008F26C7">
            <w:pPr>
              <w:spacing w:before="120" w:after="120" w:line="240" w:lineRule="auto"/>
              <w:jc w:val="both"/>
              <w:rPr>
                <w:rFonts w:ascii="Times New Roman" w:hAnsi="Times New Roman"/>
                <w:b/>
                <w:u w:val="single"/>
              </w:rPr>
            </w:pPr>
            <w:r w:rsidRPr="00F75F7F">
              <w:rPr>
                <w:rFonts w:ascii="Times New Roman" w:hAnsi="Times New Roman"/>
                <w:b/>
                <w:u w:val="single"/>
              </w:rPr>
              <w:t>VI. Hybrydowe instalacje OZE</w:t>
            </w:r>
          </w:p>
          <w:p w14:paraId="7CF4B5E6" w14:textId="6143AB83" w:rsidR="008F26C7" w:rsidRPr="00E9725D" w:rsidRDefault="008F26C7" w:rsidP="008F26C7">
            <w:pPr>
              <w:spacing w:before="120" w:after="120" w:line="240" w:lineRule="auto"/>
              <w:jc w:val="both"/>
              <w:rPr>
                <w:rFonts w:ascii="Times New Roman" w:hAnsi="Times New Roman"/>
                <w:bCs/>
              </w:rPr>
            </w:pPr>
            <w:r w:rsidRPr="00E9725D">
              <w:rPr>
                <w:rFonts w:ascii="Times New Roman" w:hAnsi="Times New Roman"/>
                <w:bCs/>
              </w:rPr>
              <w:t xml:space="preserve">Zaproponowane zmiany definicji hybrydowej instalacji odnawialnego źródła energii w art. 2 pkt 11a ustawy OZE </w:t>
            </w:r>
            <w:r>
              <w:rPr>
                <w:rFonts w:ascii="Times New Roman" w:hAnsi="Times New Roman"/>
                <w:bCs/>
              </w:rPr>
              <w:t xml:space="preserve">są </w:t>
            </w:r>
            <w:r w:rsidRPr="00E9725D">
              <w:rPr>
                <w:rFonts w:ascii="Times New Roman" w:hAnsi="Times New Roman"/>
                <w:bCs/>
              </w:rPr>
              <w:t>efekt</w:t>
            </w:r>
            <w:r>
              <w:rPr>
                <w:rFonts w:ascii="Times New Roman" w:hAnsi="Times New Roman"/>
                <w:bCs/>
              </w:rPr>
              <w:t>em</w:t>
            </w:r>
            <w:r w:rsidRPr="00E9725D">
              <w:rPr>
                <w:rFonts w:ascii="Times New Roman" w:hAnsi="Times New Roman"/>
                <w:bCs/>
              </w:rPr>
              <w:t xml:space="preserve"> uwzględnienia przy definiowaniu hybrydowej instalacji odnawialnego źródła energii </w:t>
            </w:r>
            <w:r w:rsidR="00031672">
              <w:rPr>
                <w:rFonts w:ascii="Times New Roman" w:hAnsi="Times New Roman"/>
                <w:bCs/>
              </w:rPr>
              <w:t>funkcjonujących</w:t>
            </w:r>
            <w:r w:rsidR="00346283">
              <w:rPr>
                <w:rFonts w:ascii="Times New Roman" w:hAnsi="Times New Roman"/>
                <w:bCs/>
              </w:rPr>
              <w:t xml:space="preserve"> </w:t>
            </w:r>
            <w:r w:rsidRPr="00E9725D">
              <w:rPr>
                <w:rFonts w:ascii="Times New Roman" w:hAnsi="Times New Roman"/>
                <w:bCs/>
              </w:rPr>
              <w:t>rozwiązań technologicznych</w:t>
            </w:r>
            <w:r w:rsidR="00346283">
              <w:rPr>
                <w:rFonts w:ascii="Times New Roman" w:hAnsi="Times New Roman"/>
                <w:bCs/>
              </w:rPr>
              <w:t>.</w:t>
            </w:r>
            <w:r w:rsidRPr="00E9725D">
              <w:rPr>
                <w:rFonts w:ascii="Times New Roman" w:hAnsi="Times New Roman"/>
                <w:bCs/>
              </w:rPr>
              <w:t xml:space="preserve"> </w:t>
            </w:r>
          </w:p>
          <w:p w14:paraId="03134CA4" w14:textId="5BCECDA8" w:rsidR="009D51F6" w:rsidRDefault="00346283" w:rsidP="00F501A2">
            <w:pPr>
              <w:spacing w:line="240" w:lineRule="auto"/>
              <w:jc w:val="both"/>
              <w:rPr>
                <w:rFonts w:ascii="Times New Roman" w:hAnsi="Times New Roman"/>
                <w:bCs/>
              </w:rPr>
            </w:pPr>
            <w:r>
              <w:rPr>
                <w:rFonts w:ascii="Times New Roman" w:hAnsi="Times New Roman"/>
                <w:bCs/>
              </w:rPr>
              <w:t xml:space="preserve">Wprowadzenie obowiązku posiadania przez hybrydową instalacje odnawialnego źródła energii magazynu energii zagwarantuje istotne korzyści wynikające z bieżącej eksploatacji </w:t>
            </w:r>
            <w:r w:rsidRPr="00346283">
              <w:rPr>
                <w:rFonts w:ascii="Times New Roman" w:hAnsi="Times New Roman"/>
                <w:bCs/>
              </w:rPr>
              <w:t>sieci dystrybucyjnej i pozwoli na uniknięcie istotnych wydatków na jej rozbudowę, których poniesienie byłoby konieczne</w:t>
            </w:r>
            <w:r>
              <w:rPr>
                <w:rFonts w:ascii="Times New Roman" w:hAnsi="Times New Roman"/>
                <w:bCs/>
              </w:rPr>
              <w:t xml:space="preserve">. </w:t>
            </w:r>
            <w:r w:rsidR="00031672">
              <w:rPr>
                <w:rFonts w:ascii="Times New Roman" w:hAnsi="Times New Roman"/>
                <w:bCs/>
              </w:rPr>
              <w:t xml:space="preserve">Pozwoli to też na łatwiejsze bilansowanie energii wytworzonej w tym zespole. </w:t>
            </w:r>
          </w:p>
          <w:p w14:paraId="5DFBDB09" w14:textId="77777777" w:rsidR="009D51F6" w:rsidRDefault="009D51F6" w:rsidP="00F501A2">
            <w:pPr>
              <w:spacing w:line="240" w:lineRule="auto"/>
              <w:jc w:val="both"/>
              <w:rPr>
                <w:rFonts w:ascii="Times New Roman" w:hAnsi="Times New Roman"/>
                <w:bCs/>
              </w:rPr>
            </w:pPr>
          </w:p>
          <w:p w14:paraId="7D38DD2A" w14:textId="7C2FF862" w:rsidR="00346283" w:rsidRDefault="00346283" w:rsidP="00F501A2">
            <w:pPr>
              <w:spacing w:line="240" w:lineRule="auto"/>
              <w:jc w:val="both"/>
              <w:rPr>
                <w:rFonts w:ascii="Times New Roman" w:hAnsi="Times New Roman"/>
                <w:bCs/>
              </w:rPr>
            </w:pPr>
            <w:r>
              <w:rPr>
                <w:rFonts w:ascii="Times New Roman" w:hAnsi="Times New Roman"/>
                <w:bCs/>
              </w:rPr>
              <w:t xml:space="preserve">Projektowane zmiany będą miały istotny wpływ na rozwój sektora magazynowania energii, co sprzyja stałemu rozwojowi tej technologii w efekcie czego spodziewać się należy wzrostu efektywności magazynów energii. </w:t>
            </w:r>
            <w:r w:rsidR="006749A6">
              <w:rPr>
                <w:rFonts w:ascii="Times New Roman" w:hAnsi="Times New Roman"/>
                <w:bCs/>
              </w:rPr>
              <w:t xml:space="preserve">W szerszej perspektywie rozwój tej technologii ma wpływ nie tylko na duże instalacje odnawialnego źródła energii. Zakłada się, iż tańsza i bardziej efektywna technologia magazynowania energii to szansa na zwiększenie poziomu </w:t>
            </w:r>
            <w:proofErr w:type="spellStart"/>
            <w:r w:rsidR="006749A6">
              <w:rPr>
                <w:rFonts w:ascii="Times New Roman" w:hAnsi="Times New Roman"/>
                <w:bCs/>
              </w:rPr>
              <w:t>autokonsumpcji</w:t>
            </w:r>
            <w:proofErr w:type="spellEnd"/>
            <w:r w:rsidR="006749A6">
              <w:rPr>
                <w:rFonts w:ascii="Times New Roman" w:hAnsi="Times New Roman"/>
                <w:bCs/>
              </w:rPr>
              <w:t xml:space="preserve"> energii odnawialnej.  </w:t>
            </w:r>
          </w:p>
          <w:p w14:paraId="7DCBA960" w14:textId="77777777" w:rsidR="00346283" w:rsidRDefault="00346283" w:rsidP="00F501A2">
            <w:pPr>
              <w:spacing w:line="240" w:lineRule="auto"/>
              <w:jc w:val="both"/>
              <w:rPr>
                <w:rFonts w:ascii="Times New Roman" w:hAnsi="Times New Roman"/>
                <w:bCs/>
              </w:rPr>
            </w:pPr>
          </w:p>
          <w:p w14:paraId="212FFCF6" w14:textId="27B47F33" w:rsidR="008F26C7" w:rsidRDefault="005A3636" w:rsidP="00212D5C">
            <w:pPr>
              <w:spacing w:after="120" w:line="240" w:lineRule="auto"/>
              <w:jc w:val="both"/>
              <w:rPr>
                <w:rFonts w:ascii="Times New Roman" w:hAnsi="Times New Roman"/>
                <w:bCs/>
              </w:rPr>
            </w:pPr>
            <w:r>
              <w:rPr>
                <w:rFonts w:ascii="Times New Roman" w:hAnsi="Times New Roman"/>
                <w:bCs/>
              </w:rPr>
              <w:t>P</w:t>
            </w:r>
            <w:r w:rsidR="008F26C7" w:rsidRPr="00644A36">
              <w:rPr>
                <w:rFonts w:ascii="Times New Roman" w:hAnsi="Times New Roman"/>
                <w:bCs/>
              </w:rPr>
              <w:t>onadto, w definicji mocy zainstalowanej elektrycznej instalacji odnawialnego źródła przewiduje się urządzenie określające łączną moc znamionową czynną w przypadku hybrydowej instalacji odnawialnego źródła energii. Pozwoli to na uniknięcie wątpliwości związanych ze stosowaniem przepisów w odniesieniu do hybrydowej instalacji odnawialnego źródła energii.</w:t>
            </w:r>
          </w:p>
          <w:p w14:paraId="33B3A1CC" w14:textId="58FB28EB" w:rsidR="00C77759" w:rsidRPr="00870F69" w:rsidRDefault="00F501A2" w:rsidP="00F501A2">
            <w:pPr>
              <w:spacing w:line="240" w:lineRule="auto"/>
              <w:jc w:val="both"/>
              <w:rPr>
                <w:rFonts w:ascii="Times New Roman" w:hAnsi="Times New Roman"/>
                <w:b/>
                <w:bCs/>
                <w:u w:val="single"/>
              </w:rPr>
            </w:pPr>
            <w:r>
              <w:rPr>
                <w:rFonts w:ascii="Times New Roman" w:hAnsi="Times New Roman"/>
                <w:b/>
                <w:bCs/>
                <w:u w:val="single"/>
              </w:rPr>
              <w:t xml:space="preserve">VII. </w:t>
            </w:r>
            <w:bookmarkStart w:id="6" w:name="_Hlk92954907"/>
            <w:r w:rsidR="00C77759" w:rsidRPr="00870F69">
              <w:rPr>
                <w:rFonts w:ascii="Times New Roman" w:hAnsi="Times New Roman"/>
                <w:b/>
                <w:bCs/>
                <w:u w:val="single"/>
              </w:rPr>
              <w:t>Zmiany w zakresie morskiej energetyki wiatrowej</w:t>
            </w:r>
          </w:p>
          <w:p w14:paraId="326B3833" w14:textId="411A5F7E" w:rsidR="000D4189" w:rsidRPr="000D4189" w:rsidRDefault="006938D6" w:rsidP="005A707A">
            <w:pPr>
              <w:spacing w:before="120" w:after="120" w:line="240" w:lineRule="auto"/>
              <w:jc w:val="both"/>
              <w:rPr>
                <w:rFonts w:ascii="Times New Roman" w:hAnsi="Times New Roman"/>
              </w:rPr>
            </w:pPr>
            <w:r>
              <w:rPr>
                <w:rFonts w:ascii="Times New Roman" w:hAnsi="Times New Roman"/>
              </w:rPr>
              <w:lastRenderedPageBreak/>
              <w:t xml:space="preserve">Zmiany </w:t>
            </w:r>
            <w:r w:rsidR="00FD1373">
              <w:rPr>
                <w:rFonts w:ascii="Times New Roman" w:hAnsi="Times New Roman"/>
              </w:rPr>
              <w:t xml:space="preserve">w </w:t>
            </w:r>
            <w:r w:rsidR="000D4189" w:rsidRPr="000D4189">
              <w:rPr>
                <w:rFonts w:ascii="Times New Roman" w:hAnsi="Times New Roman"/>
              </w:rPr>
              <w:t>ustaw</w:t>
            </w:r>
            <w:r w:rsidR="00FD1373">
              <w:rPr>
                <w:rFonts w:ascii="Times New Roman" w:hAnsi="Times New Roman"/>
              </w:rPr>
              <w:t>ie</w:t>
            </w:r>
            <w:r w:rsidR="000D4189" w:rsidRPr="000D4189">
              <w:rPr>
                <w:rFonts w:ascii="Times New Roman" w:hAnsi="Times New Roman"/>
              </w:rPr>
              <w:t xml:space="preserve"> </w:t>
            </w:r>
            <w:r w:rsidR="00D71703">
              <w:rPr>
                <w:rFonts w:ascii="Times New Roman" w:hAnsi="Times New Roman"/>
              </w:rPr>
              <w:t xml:space="preserve">o </w:t>
            </w:r>
            <w:r w:rsidR="00D71703" w:rsidRPr="00D71703">
              <w:rPr>
                <w:rFonts w:ascii="Times New Roman" w:hAnsi="Times New Roman"/>
              </w:rPr>
              <w:t>promowaniu wytwarzania energii elektrycznej w morskich farmach wiatrowych</w:t>
            </w:r>
            <w:r w:rsidR="000D4189" w:rsidRPr="000D4189">
              <w:rPr>
                <w:rFonts w:ascii="Times New Roman" w:hAnsi="Times New Roman"/>
              </w:rPr>
              <w:t xml:space="preserve"> mają na celu wprowadzenia niezbędnych modyfikacji redakcyjno-technicznych w celu wyeliminowania wątpliwości interpretacyjnych. Stanowi to odpowiedź na uwagi zgłoszone przez Biuro Legislacyjne Senatu na etapie prac nad ustawą </w:t>
            </w:r>
            <w:proofErr w:type="spellStart"/>
            <w:r w:rsidR="000D4189" w:rsidRPr="000D4189">
              <w:rPr>
                <w:rFonts w:ascii="Times New Roman" w:hAnsi="Times New Roman"/>
              </w:rPr>
              <w:t>offshore</w:t>
            </w:r>
            <w:proofErr w:type="spellEnd"/>
            <w:r w:rsidR="000D4189" w:rsidRPr="000D4189">
              <w:rPr>
                <w:rFonts w:ascii="Times New Roman" w:hAnsi="Times New Roman"/>
              </w:rPr>
              <w:t xml:space="preserve"> w Senacie</w:t>
            </w:r>
            <w:r w:rsidR="00D71703">
              <w:rPr>
                <w:rFonts w:ascii="Times New Roman" w:hAnsi="Times New Roman"/>
              </w:rPr>
              <w:t>.</w:t>
            </w:r>
            <w:r w:rsidR="000D4189" w:rsidRPr="000D4189">
              <w:rPr>
                <w:rFonts w:ascii="Times New Roman" w:hAnsi="Times New Roman"/>
              </w:rPr>
              <w:t xml:space="preserve"> </w:t>
            </w:r>
          </w:p>
          <w:p w14:paraId="4A916FEC" w14:textId="0DBBBC5A" w:rsidR="00C77759" w:rsidRPr="00C77759" w:rsidRDefault="000D4189" w:rsidP="005A707A">
            <w:pPr>
              <w:spacing w:before="120" w:after="120" w:line="240" w:lineRule="auto"/>
              <w:jc w:val="both"/>
              <w:rPr>
                <w:rFonts w:ascii="Times New Roman" w:hAnsi="Times New Roman"/>
              </w:rPr>
            </w:pPr>
            <w:r w:rsidRPr="000D4189">
              <w:rPr>
                <w:rFonts w:ascii="Times New Roman" w:hAnsi="Times New Roman"/>
              </w:rPr>
              <w:t>Zmiany dotyczące ustawy o obszarach morskich Rzeczypospolitej Polskiej i administracji morskiej mają na celu</w:t>
            </w:r>
            <w:r w:rsidR="00F501A2">
              <w:rPr>
                <w:rFonts w:ascii="Times New Roman" w:hAnsi="Times New Roman"/>
              </w:rPr>
              <w:t xml:space="preserve"> m.in.</w:t>
            </w:r>
            <w:r w:rsidR="008743A6">
              <w:rPr>
                <w:rFonts w:ascii="Times New Roman" w:hAnsi="Times New Roman"/>
              </w:rPr>
              <w:t xml:space="preserve"> </w:t>
            </w:r>
            <w:r w:rsidRPr="000D4189">
              <w:rPr>
                <w:rFonts w:ascii="Times New Roman" w:hAnsi="Times New Roman"/>
              </w:rPr>
              <w:t xml:space="preserve">bardziej efektywne planowanie rozwoju infrastruktury służącej do wyprowadzenia mocy z morskich farm wiatrowych. Na podstawie obecnie obowiązujących przepisów istnieje możliwość złożenia wniosku obejmującego wyprowadzenie mocy (kable) z morskiej farmy wiatrowej nawet jeśli dany wnioskodawca nie posiada </w:t>
            </w:r>
            <w:r w:rsidR="008743A6">
              <w:rPr>
                <w:rFonts w:ascii="Times New Roman" w:hAnsi="Times New Roman"/>
              </w:rPr>
              <w:t xml:space="preserve">jeszcze </w:t>
            </w:r>
            <w:r w:rsidRPr="000D4189">
              <w:rPr>
                <w:rFonts w:ascii="Times New Roman" w:hAnsi="Times New Roman"/>
              </w:rPr>
              <w:t>pozwolenia na wznoszenie sztucznych wysp, konstrukcji i urządzeń w polskich obszarach morskich (PSZW) dla morskiej farmy wiatrowej. W</w:t>
            </w:r>
            <w:r w:rsidR="008743A6">
              <w:rPr>
                <w:rFonts w:ascii="Times New Roman" w:hAnsi="Times New Roman"/>
              </w:rPr>
              <w:t> </w:t>
            </w:r>
            <w:r w:rsidRPr="000D4189">
              <w:rPr>
                <w:rFonts w:ascii="Times New Roman" w:hAnsi="Times New Roman"/>
              </w:rPr>
              <w:t>konsekwencji może to blokować możliwość uzyskania pozwolenia na ułożenie kabla dla posiadacza PSZW dla morskiej farmy wiatrowej.</w:t>
            </w:r>
          </w:p>
          <w:p w14:paraId="3CE49206" w14:textId="5AC48522" w:rsidR="00C77759" w:rsidRDefault="00C77759" w:rsidP="005A707A">
            <w:pPr>
              <w:spacing w:before="120" w:after="120" w:line="240" w:lineRule="auto"/>
              <w:jc w:val="both"/>
              <w:rPr>
                <w:rFonts w:ascii="Times New Roman" w:hAnsi="Times New Roman"/>
              </w:rPr>
            </w:pPr>
            <w:r w:rsidRPr="00C77759">
              <w:rPr>
                <w:rFonts w:ascii="Times New Roman" w:hAnsi="Times New Roman"/>
              </w:rPr>
              <w:t xml:space="preserve">Ponadto, </w:t>
            </w:r>
            <w:r>
              <w:rPr>
                <w:rFonts w:ascii="Times New Roman" w:hAnsi="Times New Roman"/>
              </w:rPr>
              <w:t>proponuje się</w:t>
            </w:r>
            <w:r w:rsidRPr="00C77759">
              <w:rPr>
                <w:rFonts w:ascii="Times New Roman" w:hAnsi="Times New Roman"/>
              </w:rPr>
              <w:t xml:space="preserve"> wykreślenie odniesienia do koncepcji przestrzennego zagospodarowania kraju, ponieważ na podstawie ustawy z dnia 15 lipca 2020 r. o zmianie ustawy o zasadach prowadzenia polityki rozwoju oraz niektórych innych ustaw </w:t>
            </w:r>
            <w:r w:rsidR="00F501A2">
              <w:rPr>
                <w:rFonts w:ascii="Times New Roman" w:hAnsi="Times New Roman"/>
              </w:rPr>
              <w:t>uchylono</w:t>
            </w:r>
            <w:r w:rsidRPr="00C77759">
              <w:rPr>
                <w:rFonts w:ascii="Times New Roman" w:hAnsi="Times New Roman"/>
              </w:rPr>
              <w:t xml:space="preserve"> art. 47 ustawy o planowaniu i zagospodarowaniu przestrzennym, który stanowił podstawę do wydania przez Radę Ministrów uchwały dotyczącej koncepcji przestrzennego zagospodarowania kraju.</w:t>
            </w:r>
          </w:p>
          <w:bookmarkEnd w:id="6"/>
          <w:p w14:paraId="2C139298" w14:textId="22258D0E" w:rsidR="004C0172" w:rsidRDefault="004C0172" w:rsidP="004C0172">
            <w:pPr>
              <w:spacing w:after="120" w:line="240" w:lineRule="auto"/>
              <w:jc w:val="both"/>
              <w:rPr>
                <w:rStyle w:val="markedcontent"/>
                <w:rFonts w:ascii="Times New Roman" w:hAnsi="Times New Roman"/>
                <w:b/>
                <w:bCs/>
              </w:rPr>
            </w:pPr>
            <w:r w:rsidRPr="00455B7D">
              <w:rPr>
                <w:rStyle w:val="markedcontent"/>
                <w:rFonts w:ascii="Times New Roman" w:hAnsi="Times New Roman"/>
                <w:b/>
                <w:bCs/>
              </w:rPr>
              <w:t>V</w:t>
            </w:r>
            <w:r>
              <w:rPr>
                <w:rStyle w:val="markedcontent"/>
                <w:rFonts w:ascii="Times New Roman" w:hAnsi="Times New Roman"/>
                <w:b/>
                <w:bCs/>
              </w:rPr>
              <w:t>II</w:t>
            </w:r>
            <w:r w:rsidRPr="00455B7D">
              <w:rPr>
                <w:rStyle w:val="markedcontent"/>
                <w:rFonts w:ascii="Times New Roman" w:hAnsi="Times New Roman"/>
                <w:b/>
                <w:bCs/>
              </w:rPr>
              <w:t xml:space="preserve">I. </w:t>
            </w:r>
            <w:r w:rsidRPr="00351AA7">
              <w:rPr>
                <w:rStyle w:val="markedcontent"/>
                <w:rFonts w:ascii="Times New Roman" w:hAnsi="Times New Roman"/>
                <w:b/>
                <w:bCs/>
              </w:rPr>
              <w:t>Zmiany w przepisach dot. systemów wsparcia OZE</w:t>
            </w:r>
          </w:p>
          <w:p w14:paraId="05EB9B54" w14:textId="77777777" w:rsidR="004C0172" w:rsidRPr="00455B7D" w:rsidRDefault="004C0172" w:rsidP="004C0172">
            <w:pPr>
              <w:spacing w:after="120" w:line="240" w:lineRule="auto"/>
              <w:contextualSpacing/>
              <w:jc w:val="both"/>
              <w:rPr>
                <w:rFonts w:ascii="Times New Roman" w:hAnsi="Times New Roman"/>
                <w:u w:val="single"/>
              </w:rPr>
            </w:pPr>
            <w:r w:rsidRPr="00455B7D">
              <w:rPr>
                <w:rFonts w:ascii="Times New Roman" w:hAnsi="Times New Roman"/>
                <w:u w:val="single"/>
              </w:rPr>
              <w:t>Wydłużenie terminu pierwszej sprzedaży energii z instalacji PV w ramach systemu aukcyjnego</w:t>
            </w:r>
          </w:p>
          <w:p w14:paraId="3AB28B48"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W przypadku zmiany dotyczącej systemu aukcyjnego, propo</w:t>
            </w:r>
            <w:r>
              <w:rPr>
                <w:rFonts w:ascii="Times New Roman" w:hAnsi="Times New Roman"/>
              </w:rPr>
              <w:t>zycja</w:t>
            </w:r>
            <w:r w:rsidRPr="00351AA7">
              <w:rPr>
                <w:rFonts w:ascii="Times New Roman" w:hAnsi="Times New Roman"/>
              </w:rPr>
              <w:t xml:space="preserve"> polega na zrównaniu sytuacji inwestorów fotowoltaicznych z inwestorami wiatrowymi i wydłużeniu z 24 do 33 miesięcy, od dnia zamknięcia sesji aukcji, terminu realizacji zobowiązania uczestnika wygranej aukcji do sprzedaży po raz pierwszy w ramach systemu aukcyjnego energii elektrycznej wytworzonej w instalacji odnawialnego źródła energii wykorzystującej do wytworzenia energii elektrycznej wyłącznie energię promieniowania słonecznego, wynikającego z art. 74 ust. 1 ustawy OZE.</w:t>
            </w:r>
          </w:p>
          <w:p w14:paraId="6E96119C"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Pozwoli to uczestnikom aukcji, którzy otrzymali wsparcie, wywiązać się z zobowiązań ustawowych i uchroni przed konsekwencjami wynikającymi z niezawinionego przez wytwórców niedotrzymania terminów.</w:t>
            </w:r>
          </w:p>
          <w:p w14:paraId="0E2E8051" w14:textId="77777777" w:rsidR="004C0172" w:rsidRPr="00455B7D" w:rsidRDefault="004C0172" w:rsidP="004C0172">
            <w:pPr>
              <w:spacing w:after="120" w:line="240" w:lineRule="auto"/>
              <w:contextualSpacing/>
              <w:jc w:val="both"/>
              <w:rPr>
                <w:rFonts w:ascii="Times New Roman" w:hAnsi="Times New Roman"/>
                <w:u w:val="single"/>
              </w:rPr>
            </w:pPr>
            <w:r w:rsidRPr="00455B7D">
              <w:rPr>
                <w:rFonts w:ascii="Times New Roman" w:hAnsi="Times New Roman"/>
                <w:u w:val="single"/>
              </w:rPr>
              <w:t>Modyfikacja zasad wnoszenia opłaty zastępczej</w:t>
            </w:r>
          </w:p>
          <w:p w14:paraId="28FD539B"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Rozwiązaniem proponowanym w kontekście sytuacji zaistniałej na rynku świadectw pochodzenia jest modyfikacja warunków uiszczania tzw. opłaty zastępczej. Powyższe wynika z faktu, iż w świetle obowiązujących przepisów, zgodnie z art. 47 ust. 2 ustawy OZE wskazana grupa podmiotów zobowiązanych do umarzania świadectw pochodzenia w rzeczywistości nie może korzystać z opłaty zastępczej. Przepis dotyczy bowiem sytuacji, w której którakolwiek z cen średnioważonych (miesięczna lub roczna) jest niższa od wartości opłaty zastępczej. Konstrukcja art. 56 ust. 1 ustawy OZE, którego przepis mówi, że opłata zastępcza wynosi 125% rocznej ceny średnioważonej, ale nie więcej niż 300,03 zł/MWh, powoduje jednak, że ta będzie zawsze większa od rocznej ceny średnioważonej. Uiszczenie opłaty zastępczej jest zatem hipotetycznie możliwe jedynie w przypadku przekroczenia przez cenę średnioważoną pułapu 300,03 zł/MWh.</w:t>
            </w:r>
          </w:p>
          <w:p w14:paraId="197D3348"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 xml:space="preserve">W efekcie, obecnie wskazane podmioty są więc zobligowane do umarzania świadectw pochodzenia, lecz nie mogą korzystać z opcji opłaty zastępczej, co w przypadku niedostatecznej podaży zielonych certyfikatów wpływa na wzrost ich wyceny – zgodne z rynkowymi prawami podaży i popytu. </w:t>
            </w:r>
          </w:p>
          <w:p w14:paraId="7325200E"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 xml:space="preserve">Proponowane brzmienie art. 47 ust. 2 ustawy OZE powoduje natomiast, że jednostkowa opłata zastępcza będzie porównywana wyłącznie do ceny miesięcznej, usuwając odniesienie do ceny rocznej, co w kontekście ww. art. 56 ust. 1 umożliwi podmiotom zobowiązanym jej wnoszenie. </w:t>
            </w:r>
          </w:p>
          <w:p w14:paraId="724B9D30" w14:textId="77777777" w:rsidR="004C0172" w:rsidRPr="00351AA7" w:rsidRDefault="004C0172" w:rsidP="004C0172">
            <w:pPr>
              <w:spacing w:after="120" w:line="240" w:lineRule="auto"/>
              <w:jc w:val="both"/>
              <w:rPr>
                <w:rFonts w:ascii="Times New Roman" w:hAnsi="Times New Roman"/>
              </w:rPr>
            </w:pPr>
            <w:r w:rsidRPr="00351AA7">
              <w:rPr>
                <w:rFonts w:ascii="Times New Roman" w:hAnsi="Times New Roman"/>
              </w:rPr>
              <w:t>Jednocześnie proponuje się całkowite usunięcie z art. 47 ustawy OZE ust. 7, gdyż do chwili obecnej nigdy nie był on skutecznie wykorzystany przez podmioty zobowiązane do umarzania świadectw pochodzenia.</w:t>
            </w:r>
          </w:p>
          <w:p w14:paraId="5AB43420" w14:textId="4B088EBD" w:rsidR="00DF5926" w:rsidRPr="00E9725D" w:rsidRDefault="00DF5926">
            <w:pPr>
              <w:spacing w:before="120" w:after="120" w:line="240" w:lineRule="auto"/>
              <w:jc w:val="both"/>
              <w:rPr>
                <w:rFonts w:ascii="Times New Roman" w:hAnsi="Times New Roman"/>
                <w:bCs/>
              </w:rPr>
            </w:pPr>
          </w:p>
        </w:tc>
      </w:tr>
      <w:tr w:rsidR="006A701A" w:rsidRPr="00687093" w14:paraId="053E6B2B" w14:textId="77777777" w:rsidTr="008539E5">
        <w:trPr>
          <w:trHeight w:val="307"/>
        </w:trPr>
        <w:tc>
          <w:tcPr>
            <w:tcW w:w="10947" w:type="dxa"/>
            <w:gridSpan w:val="30"/>
            <w:tcBorders>
              <w:top w:val="nil"/>
            </w:tcBorders>
            <w:shd w:val="clear" w:color="auto" w:fill="99CCFF"/>
            <w:vAlign w:val="center"/>
          </w:tcPr>
          <w:p w14:paraId="20EB7D9B" w14:textId="092DBF3D" w:rsidR="006A701A" w:rsidRPr="00687093" w:rsidRDefault="009E3C4B">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spacing w:val="-2"/>
              </w:rPr>
              <w:lastRenderedPageBreak/>
              <w:t>Jak problem został rozwiązany w innych krajach, w szczególności krajach członkowskich OECD/UE</w:t>
            </w:r>
            <w:r w:rsidR="006A701A" w:rsidRPr="00687093">
              <w:rPr>
                <w:rFonts w:ascii="Times New Roman" w:hAnsi="Times New Roman"/>
                <w:b/>
                <w:color w:val="000000"/>
              </w:rPr>
              <w:t>?</w:t>
            </w:r>
            <w:r w:rsidR="006A701A" w:rsidRPr="00687093">
              <w:rPr>
                <w:rFonts w:ascii="Times New Roman" w:hAnsi="Times New Roman"/>
                <w:i/>
                <w:color w:val="000000"/>
              </w:rPr>
              <w:t xml:space="preserve"> </w:t>
            </w:r>
          </w:p>
        </w:tc>
      </w:tr>
      <w:tr w:rsidR="006A701A" w:rsidRPr="00DF1896" w14:paraId="18F22CAE" w14:textId="77777777" w:rsidTr="008B0DAC">
        <w:trPr>
          <w:trHeight w:val="142"/>
        </w:trPr>
        <w:tc>
          <w:tcPr>
            <w:tcW w:w="10947" w:type="dxa"/>
            <w:gridSpan w:val="30"/>
            <w:shd w:val="clear" w:color="auto" w:fill="auto"/>
          </w:tcPr>
          <w:p w14:paraId="3525DEEF" w14:textId="0958A3FA" w:rsidR="00ED3780" w:rsidRPr="00870F69" w:rsidRDefault="00ED3780" w:rsidP="00F501A2">
            <w:pPr>
              <w:spacing w:line="240" w:lineRule="auto"/>
              <w:jc w:val="both"/>
              <w:rPr>
                <w:rFonts w:ascii="Times New Roman" w:hAnsi="Times New Roman"/>
                <w:b/>
                <w:iCs/>
                <w:u w:val="single"/>
              </w:rPr>
            </w:pPr>
            <w:r w:rsidRPr="00870F69">
              <w:rPr>
                <w:rFonts w:ascii="Times New Roman" w:hAnsi="Times New Roman"/>
                <w:b/>
                <w:iCs/>
                <w:u w:val="single"/>
              </w:rPr>
              <w:t>I. Wykorzystanie biogazu/</w:t>
            </w:r>
            <w:proofErr w:type="spellStart"/>
            <w:r w:rsidRPr="00870F69">
              <w:rPr>
                <w:rFonts w:ascii="Times New Roman" w:hAnsi="Times New Roman"/>
                <w:b/>
                <w:iCs/>
                <w:u w:val="single"/>
              </w:rPr>
              <w:t>biometanu</w:t>
            </w:r>
            <w:proofErr w:type="spellEnd"/>
            <w:r w:rsidRPr="00870F69">
              <w:rPr>
                <w:rFonts w:ascii="Times New Roman" w:hAnsi="Times New Roman"/>
                <w:b/>
                <w:iCs/>
                <w:u w:val="single"/>
              </w:rPr>
              <w:t xml:space="preserve"> w Unii Europejskiej</w:t>
            </w:r>
          </w:p>
          <w:p w14:paraId="08E6432E" w14:textId="77777777" w:rsidR="00ED3780" w:rsidRPr="00C07383" w:rsidRDefault="00ED3780" w:rsidP="00ED3780">
            <w:pPr>
              <w:spacing w:line="240" w:lineRule="auto"/>
              <w:jc w:val="both"/>
              <w:rPr>
                <w:rFonts w:ascii="Times New Roman" w:hAnsi="Times New Roman"/>
                <w:iCs/>
              </w:rPr>
            </w:pPr>
            <w:r w:rsidRPr="000D14B1">
              <w:rPr>
                <w:rFonts w:ascii="Times New Roman" w:hAnsi="Times New Roman"/>
                <w:iCs/>
              </w:rPr>
              <w:t>Wykorzystanie biogazu/</w:t>
            </w:r>
            <w:proofErr w:type="spellStart"/>
            <w:r w:rsidRPr="000D14B1">
              <w:rPr>
                <w:rFonts w:ascii="Times New Roman" w:hAnsi="Times New Roman"/>
                <w:iCs/>
              </w:rPr>
              <w:t>biometanu</w:t>
            </w:r>
            <w:proofErr w:type="spellEnd"/>
            <w:r w:rsidRPr="000D14B1">
              <w:rPr>
                <w:rFonts w:ascii="Times New Roman" w:hAnsi="Times New Roman"/>
                <w:iCs/>
              </w:rPr>
              <w:t xml:space="preserve"> w krajach UE wzrosło w ostatnich latach do poziomu ok. 2,5 mln </w:t>
            </w:r>
            <w:proofErr w:type="spellStart"/>
            <w:r w:rsidRPr="000D14B1">
              <w:rPr>
                <w:rFonts w:ascii="Times New Roman" w:hAnsi="Times New Roman"/>
                <w:iCs/>
              </w:rPr>
              <w:t>ktoe</w:t>
            </w:r>
            <w:proofErr w:type="spellEnd"/>
            <w:r w:rsidRPr="000D14B1">
              <w:rPr>
                <w:rFonts w:ascii="Times New Roman" w:hAnsi="Times New Roman"/>
                <w:iCs/>
              </w:rPr>
              <w:t xml:space="preserve">, podczas gdy jeszcze w 2009 roku było na poziomie ok. 1,06 mln </w:t>
            </w:r>
            <w:proofErr w:type="spellStart"/>
            <w:r w:rsidRPr="000D14B1">
              <w:rPr>
                <w:rFonts w:ascii="Times New Roman" w:hAnsi="Times New Roman"/>
                <w:iCs/>
              </w:rPr>
              <w:t>ktoe</w:t>
            </w:r>
            <w:proofErr w:type="spellEnd"/>
            <w:r w:rsidRPr="000D14B1">
              <w:rPr>
                <w:rFonts w:ascii="Times New Roman" w:hAnsi="Times New Roman"/>
                <w:iCs/>
              </w:rPr>
              <w:t xml:space="preserve">. </w:t>
            </w:r>
          </w:p>
          <w:p w14:paraId="04ABF2B6" w14:textId="77777777" w:rsidR="00ED3780" w:rsidRPr="00687093" w:rsidRDefault="00ED3780" w:rsidP="00ED3780">
            <w:pPr>
              <w:spacing w:line="240" w:lineRule="auto"/>
              <w:jc w:val="both"/>
              <w:rPr>
                <w:rFonts w:ascii="Times New Roman" w:hAnsi="Times New Roman"/>
                <w:b/>
                <w:sz w:val="10"/>
                <w:szCs w:val="10"/>
              </w:rPr>
            </w:pPr>
          </w:p>
          <w:p w14:paraId="538AF008" w14:textId="77777777" w:rsidR="00ED3780" w:rsidRPr="00687093" w:rsidRDefault="00ED3780" w:rsidP="00ED3780">
            <w:pPr>
              <w:spacing w:line="240" w:lineRule="auto"/>
              <w:jc w:val="both"/>
              <w:rPr>
                <w:rFonts w:ascii="Times New Roman" w:hAnsi="Times New Roman"/>
                <w:i/>
                <w:sz w:val="20"/>
                <w:szCs w:val="20"/>
              </w:rPr>
            </w:pPr>
            <w:r w:rsidRPr="00687093">
              <w:rPr>
                <w:rFonts w:ascii="Times New Roman" w:hAnsi="Times New Roman"/>
                <w:i/>
                <w:sz w:val="20"/>
                <w:szCs w:val="20"/>
              </w:rPr>
              <w:t>Tabela: Zużycia biogazu/</w:t>
            </w:r>
            <w:proofErr w:type="spellStart"/>
            <w:r w:rsidRPr="00687093">
              <w:rPr>
                <w:rFonts w:ascii="Times New Roman" w:hAnsi="Times New Roman"/>
                <w:i/>
                <w:sz w:val="20"/>
                <w:szCs w:val="20"/>
              </w:rPr>
              <w:t>biometanu</w:t>
            </w:r>
            <w:proofErr w:type="spellEnd"/>
            <w:r w:rsidRPr="00687093">
              <w:rPr>
                <w:rFonts w:ascii="Times New Roman" w:hAnsi="Times New Roman"/>
                <w:i/>
                <w:sz w:val="20"/>
                <w:szCs w:val="20"/>
              </w:rPr>
              <w:t xml:space="preserve"> w krajach Unii Europejskiej (UE) w latach 2014-2018.</w:t>
            </w:r>
          </w:p>
          <w:tbl>
            <w:tblPr>
              <w:tblW w:w="8505" w:type="dxa"/>
              <w:tblLayout w:type="fixed"/>
              <w:tblCellMar>
                <w:left w:w="70" w:type="dxa"/>
                <w:right w:w="70" w:type="dxa"/>
              </w:tblCellMar>
              <w:tblLook w:val="04A0" w:firstRow="1" w:lastRow="0" w:firstColumn="1" w:lastColumn="0" w:noHBand="0" w:noVBand="1"/>
            </w:tblPr>
            <w:tblGrid>
              <w:gridCol w:w="2268"/>
              <w:gridCol w:w="1276"/>
              <w:gridCol w:w="1276"/>
              <w:gridCol w:w="1276"/>
              <w:gridCol w:w="1275"/>
              <w:gridCol w:w="1134"/>
            </w:tblGrid>
            <w:tr w:rsidR="00ED3780" w:rsidRPr="00687093" w14:paraId="60BAEDB9" w14:textId="77777777" w:rsidTr="00786EA2">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3A6D" w14:textId="77777777" w:rsidR="00ED3780" w:rsidRPr="00687093" w:rsidRDefault="00ED3780" w:rsidP="00ED3780">
                  <w:pPr>
                    <w:spacing w:line="240" w:lineRule="auto"/>
                    <w:jc w:val="center"/>
                    <w:rPr>
                      <w:rFonts w:ascii="Times New Roman" w:eastAsia="Times New Roman" w:hAnsi="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F92111"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766F3A"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95ED0D"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B3AB31"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BB5BBB"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2018</w:t>
                  </w:r>
                </w:p>
              </w:tc>
            </w:tr>
            <w:tr w:rsidR="00ED3780" w:rsidRPr="00687093" w14:paraId="7DBA4017" w14:textId="77777777" w:rsidTr="00786EA2">
              <w:trPr>
                <w:trHeight w:val="27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E3EB569" w14:textId="77777777" w:rsidR="00ED3780" w:rsidRPr="00687093" w:rsidRDefault="00ED3780" w:rsidP="00ED37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Zużycie biogazu ogółem – kraje UE [</w:t>
                  </w:r>
                  <w:proofErr w:type="spellStart"/>
                  <w:r w:rsidRPr="00687093">
                    <w:rPr>
                      <w:rFonts w:ascii="Times New Roman" w:eastAsia="Times New Roman" w:hAnsi="Times New Roman"/>
                      <w:sz w:val="20"/>
                      <w:szCs w:val="20"/>
                      <w:lang w:eastAsia="pl-PL"/>
                    </w:rPr>
                    <w:t>ktoe</w:t>
                  </w:r>
                  <w:proofErr w:type="spellEnd"/>
                  <w:r w:rsidRPr="00687093">
                    <w:rPr>
                      <w:rFonts w:ascii="Times New Roman" w:eastAsia="Times New Roman" w:hAnsi="Times New Roman"/>
                      <w:sz w:val="20"/>
                      <w:szCs w:val="20"/>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46C269DE"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2 197</w:t>
                  </w:r>
                </w:p>
              </w:tc>
              <w:tc>
                <w:tcPr>
                  <w:tcW w:w="1276" w:type="dxa"/>
                  <w:tcBorders>
                    <w:top w:val="nil"/>
                    <w:left w:val="nil"/>
                    <w:bottom w:val="single" w:sz="4" w:space="0" w:color="auto"/>
                    <w:right w:val="single" w:sz="4" w:space="0" w:color="auto"/>
                  </w:tcBorders>
                  <w:shd w:val="clear" w:color="auto" w:fill="auto"/>
                  <w:noWrap/>
                  <w:vAlign w:val="center"/>
                  <w:hideMark/>
                </w:tcPr>
                <w:p w14:paraId="2B6432B5"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2 327</w:t>
                  </w:r>
                </w:p>
              </w:tc>
              <w:tc>
                <w:tcPr>
                  <w:tcW w:w="1276" w:type="dxa"/>
                  <w:tcBorders>
                    <w:top w:val="nil"/>
                    <w:left w:val="nil"/>
                    <w:bottom w:val="single" w:sz="4" w:space="0" w:color="auto"/>
                    <w:right w:val="single" w:sz="4" w:space="0" w:color="auto"/>
                  </w:tcBorders>
                  <w:shd w:val="clear" w:color="auto" w:fill="auto"/>
                  <w:noWrap/>
                  <w:vAlign w:val="center"/>
                  <w:hideMark/>
                </w:tcPr>
                <w:p w14:paraId="3DFA010D"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2 497</w:t>
                  </w:r>
                </w:p>
              </w:tc>
              <w:tc>
                <w:tcPr>
                  <w:tcW w:w="1275" w:type="dxa"/>
                  <w:tcBorders>
                    <w:top w:val="nil"/>
                    <w:left w:val="nil"/>
                    <w:bottom w:val="single" w:sz="4" w:space="0" w:color="auto"/>
                    <w:right w:val="single" w:sz="4" w:space="0" w:color="auto"/>
                  </w:tcBorders>
                  <w:shd w:val="clear" w:color="auto" w:fill="auto"/>
                  <w:noWrap/>
                  <w:vAlign w:val="center"/>
                  <w:hideMark/>
                </w:tcPr>
                <w:p w14:paraId="3B072B83"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2 573</w:t>
                  </w:r>
                </w:p>
              </w:tc>
              <w:tc>
                <w:tcPr>
                  <w:tcW w:w="1134" w:type="dxa"/>
                  <w:tcBorders>
                    <w:top w:val="nil"/>
                    <w:left w:val="nil"/>
                    <w:bottom w:val="single" w:sz="4" w:space="0" w:color="auto"/>
                    <w:right w:val="single" w:sz="4" w:space="0" w:color="auto"/>
                  </w:tcBorders>
                  <w:shd w:val="clear" w:color="auto" w:fill="auto"/>
                  <w:noWrap/>
                  <w:vAlign w:val="center"/>
                  <w:hideMark/>
                </w:tcPr>
                <w:p w14:paraId="1D1D07A0"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2 513</w:t>
                  </w:r>
                </w:p>
              </w:tc>
            </w:tr>
            <w:tr w:rsidR="00ED3780" w:rsidRPr="00687093" w14:paraId="5ECAF52E" w14:textId="77777777" w:rsidTr="00786EA2">
              <w:trPr>
                <w:trHeight w:val="27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D39B0AF" w14:textId="77777777" w:rsidR="00ED3780" w:rsidRPr="00687093" w:rsidRDefault="00ED3780" w:rsidP="00ED37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Dynamika r/r [%]</w:t>
                  </w:r>
                </w:p>
              </w:tc>
              <w:tc>
                <w:tcPr>
                  <w:tcW w:w="1276" w:type="dxa"/>
                  <w:tcBorders>
                    <w:top w:val="nil"/>
                    <w:left w:val="nil"/>
                    <w:bottom w:val="single" w:sz="4" w:space="0" w:color="auto"/>
                    <w:right w:val="single" w:sz="4" w:space="0" w:color="auto"/>
                  </w:tcBorders>
                  <w:shd w:val="clear" w:color="auto" w:fill="auto"/>
                  <w:noWrap/>
                  <w:vAlign w:val="center"/>
                  <w:hideMark/>
                </w:tcPr>
                <w:p w14:paraId="593C0D01" w14:textId="77777777" w:rsidR="00ED3780" w:rsidRPr="00687093" w:rsidRDefault="00ED3780" w:rsidP="00ED3780">
                  <w:pPr>
                    <w:spacing w:line="240" w:lineRule="auto"/>
                    <w:jc w:val="center"/>
                    <w:rPr>
                      <w:rFonts w:ascii="Times New Roman" w:eastAsia="Times New Roman" w:hAnsi="Times New Roman"/>
                      <w:sz w:val="20"/>
                      <w:szCs w:val="20"/>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14:paraId="6FCBBAB3"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5,9%</w:t>
                  </w:r>
                </w:p>
              </w:tc>
              <w:tc>
                <w:tcPr>
                  <w:tcW w:w="1276" w:type="dxa"/>
                  <w:tcBorders>
                    <w:top w:val="nil"/>
                    <w:left w:val="nil"/>
                    <w:bottom w:val="single" w:sz="4" w:space="0" w:color="auto"/>
                    <w:right w:val="single" w:sz="4" w:space="0" w:color="auto"/>
                  </w:tcBorders>
                  <w:shd w:val="clear" w:color="auto" w:fill="auto"/>
                  <w:noWrap/>
                  <w:vAlign w:val="center"/>
                  <w:hideMark/>
                </w:tcPr>
                <w:p w14:paraId="75C64EF9"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7,3%</w:t>
                  </w:r>
                </w:p>
              </w:tc>
              <w:tc>
                <w:tcPr>
                  <w:tcW w:w="1275" w:type="dxa"/>
                  <w:tcBorders>
                    <w:top w:val="nil"/>
                    <w:left w:val="nil"/>
                    <w:bottom w:val="single" w:sz="4" w:space="0" w:color="auto"/>
                    <w:right w:val="single" w:sz="4" w:space="0" w:color="auto"/>
                  </w:tcBorders>
                  <w:shd w:val="clear" w:color="auto" w:fill="auto"/>
                  <w:noWrap/>
                  <w:vAlign w:val="center"/>
                  <w:hideMark/>
                </w:tcPr>
                <w:p w14:paraId="53D0A0AA"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5B07D7E" w14:textId="77777777" w:rsidR="00ED3780" w:rsidRPr="00687093" w:rsidRDefault="00ED3780" w:rsidP="00ED3780">
                  <w:pPr>
                    <w:spacing w:line="240" w:lineRule="auto"/>
                    <w:jc w:val="center"/>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-2,3%</w:t>
                  </w:r>
                </w:p>
              </w:tc>
            </w:tr>
          </w:tbl>
          <w:p w14:paraId="2B2CDE92" w14:textId="77777777" w:rsidR="00ED3780" w:rsidRPr="00687093" w:rsidRDefault="00ED3780" w:rsidP="00ED3780">
            <w:pPr>
              <w:spacing w:line="240" w:lineRule="auto"/>
              <w:jc w:val="both"/>
              <w:rPr>
                <w:rFonts w:ascii="Times New Roman" w:hAnsi="Times New Roman"/>
                <w:i/>
                <w:sz w:val="20"/>
                <w:szCs w:val="20"/>
              </w:rPr>
            </w:pPr>
            <w:r w:rsidRPr="00687093">
              <w:rPr>
                <w:rFonts w:ascii="Times New Roman" w:hAnsi="Times New Roman"/>
                <w:i/>
                <w:sz w:val="20"/>
                <w:szCs w:val="20"/>
              </w:rPr>
              <w:t xml:space="preserve">Źródło: </w:t>
            </w:r>
            <w:r w:rsidRPr="00687093">
              <w:rPr>
                <w:rFonts w:ascii="Times New Roman" w:hAnsi="Times New Roman"/>
                <w:i/>
                <w:iCs/>
                <w:sz w:val="20"/>
                <w:szCs w:val="20"/>
              </w:rPr>
              <w:t xml:space="preserve">Opracowanie własne Ministerstwa Klimatu i Środowiska na podstawie danych </w:t>
            </w:r>
            <w:r w:rsidRPr="00687093">
              <w:rPr>
                <w:rFonts w:ascii="Times New Roman" w:hAnsi="Times New Roman"/>
                <w:i/>
                <w:sz w:val="20"/>
                <w:szCs w:val="20"/>
              </w:rPr>
              <w:t>ARE.</w:t>
            </w:r>
          </w:p>
          <w:p w14:paraId="7363605A" w14:textId="768595EF" w:rsidR="00ED3780" w:rsidRPr="00687093" w:rsidRDefault="00ED3780" w:rsidP="00ED3780">
            <w:pPr>
              <w:spacing w:after="120" w:line="240" w:lineRule="auto"/>
              <w:jc w:val="both"/>
              <w:rPr>
                <w:rFonts w:ascii="Times New Roman" w:hAnsi="Times New Roman"/>
              </w:rPr>
            </w:pPr>
            <w:r w:rsidRPr="00687093">
              <w:rPr>
                <w:rFonts w:ascii="Times New Roman" w:hAnsi="Times New Roman"/>
                <w:i/>
              </w:rPr>
              <w:tab/>
            </w:r>
            <w:r w:rsidRPr="00687093">
              <w:rPr>
                <w:rFonts w:ascii="Times New Roman" w:hAnsi="Times New Roman"/>
              </w:rPr>
              <w:br/>
              <w:t>Jednak aktualnie nadal większość biogazu,</w:t>
            </w:r>
            <w:r w:rsidRPr="00687093">
              <w:rPr>
                <w:rFonts w:ascii="Times New Roman" w:hAnsi="Times New Roman"/>
                <w:b/>
              </w:rPr>
              <w:t xml:space="preserve"> </w:t>
            </w:r>
            <w:r w:rsidRPr="00687093">
              <w:rPr>
                <w:rFonts w:ascii="Times New Roman" w:hAnsi="Times New Roman"/>
              </w:rPr>
              <w:t xml:space="preserve">nawet po oczyszczeniu do jakości </w:t>
            </w:r>
            <w:proofErr w:type="spellStart"/>
            <w:r w:rsidRPr="00687093">
              <w:rPr>
                <w:rFonts w:ascii="Times New Roman" w:hAnsi="Times New Roman"/>
              </w:rPr>
              <w:t>biometanu</w:t>
            </w:r>
            <w:proofErr w:type="spellEnd"/>
            <w:r w:rsidRPr="00687093">
              <w:rPr>
                <w:rFonts w:ascii="Times New Roman" w:hAnsi="Times New Roman"/>
              </w:rPr>
              <w:t xml:space="preserve"> oraz zatłoczeniu do sieci gazowej,</w:t>
            </w:r>
            <w:r w:rsidRPr="00687093">
              <w:rPr>
                <w:rFonts w:ascii="Times New Roman" w:hAnsi="Times New Roman"/>
                <w:b/>
              </w:rPr>
              <w:t xml:space="preserve"> </w:t>
            </w:r>
            <w:r w:rsidRPr="00687093">
              <w:rPr>
                <w:rFonts w:ascii="Times New Roman" w:hAnsi="Times New Roman"/>
              </w:rPr>
              <w:t>trafia do sektora elektroenergetyki (</w:t>
            </w:r>
            <w:r w:rsidR="00F313CD">
              <w:rPr>
                <w:rFonts w:ascii="Times New Roman" w:hAnsi="Times New Roman"/>
              </w:rPr>
              <w:t>–</w:t>
            </w:r>
            <w:r w:rsidRPr="00687093">
              <w:rPr>
                <w:rFonts w:ascii="Times New Roman" w:hAnsi="Times New Roman"/>
              </w:rPr>
              <w:t xml:space="preserve">018 r. - 93,9%). W poszczególnych krajach UE istnieją duże różnice w zakresie rozwoju i wykorzystania biogazu i </w:t>
            </w:r>
            <w:proofErr w:type="spellStart"/>
            <w:r w:rsidRPr="00687093">
              <w:rPr>
                <w:rFonts w:ascii="Times New Roman" w:hAnsi="Times New Roman"/>
              </w:rPr>
              <w:t>biometanu</w:t>
            </w:r>
            <w:proofErr w:type="spellEnd"/>
            <w:r w:rsidRPr="00687093">
              <w:rPr>
                <w:rFonts w:ascii="Times New Roman" w:hAnsi="Times New Roman"/>
              </w:rPr>
              <w:t xml:space="preserve">, co jest przede wszystkim wynikiem zastosowania zróżnicowanych </w:t>
            </w:r>
            <w:r w:rsidRPr="00687093">
              <w:rPr>
                <w:rFonts w:ascii="Times New Roman" w:hAnsi="Times New Roman"/>
              </w:rPr>
              <w:lastRenderedPageBreak/>
              <w:t xml:space="preserve">krajowych strategii oraz, co szczególnie istotne w przypadku </w:t>
            </w:r>
            <w:proofErr w:type="spellStart"/>
            <w:r w:rsidRPr="00687093">
              <w:rPr>
                <w:rFonts w:ascii="Times New Roman" w:hAnsi="Times New Roman"/>
              </w:rPr>
              <w:t>biometanu</w:t>
            </w:r>
            <w:proofErr w:type="spellEnd"/>
            <w:r w:rsidRPr="00687093">
              <w:rPr>
                <w:rFonts w:ascii="Times New Roman" w:hAnsi="Times New Roman"/>
              </w:rPr>
              <w:t>, struktury funkcjonującej sieci przesyłowej i dystrybucyjnej gazu ziemnego.</w:t>
            </w:r>
          </w:p>
          <w:p w14:paraId="46744A51" w14:textId="77777777" w:rsidR="00ED3780" w:rsidRPr="00687093" w:rsidRDefault="00ED3780" w:rsidP="00ED3780">
            <w:pPr>
              <w:spacing w:after="120" w:line="240" w:lineRule="auto"/>
              <w:jc w:val="both"/>
              <w:rPr>
                <w:rFonts w:ascii="Times New Roman" w:hAnsi="Times New Roman"/>
              </w:rPr>
            </w:pPr>
            <w:r w:rsidRPr="00121D6F">
              <w:rPr>
                <w:rFonts w:ascii="Times New Roman" w:hAnsi="Times New Roman"/>
              </w:rPr>
              <w:t xml:space="preserve">Liderem produkcji </w:t>
            </w:r>
            <w:proofErr w:type="spellStart"/>
            <w:r w:rsidRPr="00121D6F">
              <w:rPr>
                <w:rFonts w:ascii="Times New Roman" w:hAnsi="Times New Roman"/>
              </w:rPr>
              <w:t>biometanu</w:t>
            </w:r>
            <w:proofErr w:type="spellEnd"/>
            <w:r w:rsidRPr="00121D6F">
              <w:rPr>
                <w:rFonts w:ascii="Times New Roman" w:hAnsi="Times New Roman"/>
              </w:rPr>
              <w:t xml:space="preserve"> w Unii Europejskiej są Niemcy, na terenie których znajduje się </w:t>
            </w:r>
            <w:r>
              <w:rPr>
                <w:rFonts w:ascii="Times New Roman" w:hAnsi="Times New Roman"/>
              </w:rPr>
              <w:t>232</w:t>
            </w:r>
            <w:r w:rsidRPr="00121D6F">
              <w:rPr>
                <w:rFonts w:ascii="Times New Roman" w:hAnsi="Times New Roman"/>
              </w:rPr>
              <w:t xml:space="preserve"> spośród wszystkich unijnych </w:t>
            </w:r>
            <w:r>
              <w:rPr>
                <w:rFonts w:ascii="Times New Roman" w:hAnsi="Times New Roman"/>
              </w:rPr>
              <w:t>729</w:t>
            </w:r>
            <w:r w:rsidRPr="00121D6F">
              <w:rPr>
                <w:rFonts w:ascii="Times New Roman" w:hAnsi="Times New Roman"/>
              </w:rPr>
              <w:t xml:space="preserve"> instalacji oczyszczających biogaz do jakości </w:t>
            </w:r>
            <w:proofErr w:type="spellStart"/>
            <w:r w:rsidRPr="00121D6F">
              <w:rPr>
                <w:rFonts w:ascii="Times New Roman" w:hAnsi="Times New Roman"/>
              </w:rPr>
              <w:t>biometanu</w:t>
            </w:r>
            <w:proofErr w:type="spellEnd"/>
            <w:r w:rsidRPr="00121D6F">
              <w:rPr>
                <w:rFonts w:ascii="Times New Roman" w:hAnsi="Times New Roman"/>
              </w:rPr>
              <w:t xml:space="preserve"> (</w:t>
            </w:r>
            <w:proofErr w:type="spellStart"/>
            <w:r w:rsidRPr="00121D6F">
              <w:rPr>
                <w:rFonts w:ascii="Times New Roman" w:hAnsi="Times New Roman"/>
              </w:rPr>
              <w:t>Annual</w:t>
            </w:r>
            <w:proofErr w:type="spellEnd"/>
            <w:r w:rsidRPr="00121D6F">
              <w:rPr>
                <w:rFonts w:ascii="Times New Roman" w:hAnsi="Times New Roman"/>
              </w:rPr>
              <w:t xml:space="preserve"> Statistical Report of the </w:t>
            </w:r>
            <w:proofErr w:type="spellStart"/>
            <w:r w:rsidRPr="00121D6F">
              <w:rPr>
                <w:rFonts w:ascii="Times New Roman" w:hAnsi="Times New Roman"/>
              </w:rPr>
              <w:t>European</w:t>
            </w:r>
            <w:proofErr w:type="spellEnd"/>
            <w:r w:rsidRPr="00121D6F">
              <w:rPr>
                <w:rFonts w:ascii="Times New Roman" w:hAnsi="Times New Roman"/>
              </w:rPr>
              <w:t xml:space="preserve"> </w:t>
            </w:r>
            <w:proofErr w:type="spellStart"/>
            <w:r w:rsidRPr="00121D6F">
              <w:rPr>
                <w:rFonts w:ascii="Times New Roman" w:hAnsi="Times New Roman"/>
              </w:rPr>
              <w:t>Biogas</w:t>
            </w:r>
            <w:proofErr w:type="spellEnd"/>
            <w:r w:rsidRPr="00121D6F">
              <w:rPr>
                <w:rFonts w:ascii="Times New Roman" w:hAnsi="Times New Roman"/>
              </w:rPr>
              <w:t xml:space="preserve"> </w:t>
            </w:r>
            <w:proofErr w:type="spellStart"/>
            <w:r w:rsidRPr="00121D6F">
              <w:rPr>
                <w:rFonts w:ascii="Times New Roman" w:hAnsi="Times New Roman"/>
              </w:rPr>
              <w:t>Association</w:t>
            </w:r>
            <w:proofErr w:type="spellEnd"/>
            <w:r w:rsidRPr="00121D6F">
              <w:rPr>
                <w:rFonts w:ascii="Times New Roman" w:hAnsi="Times New Roman"/>
              </w:rPr>
              <w:t>, 20</w:t>
            </w:r>
            <w:r>
              <w:rPr>
                <w:rFonts w:ascii="Times New Roman" w:hAnsi="Times New Roman"/>
              </w:rPr>
              <w:t>20</w:t>
            </w:r>
            <w:r w:rsidRPr="00121D6F">
              <w:rPr>
                <w:rFonts w:ascii="Times New Roman" w:hAnsi="Times New Roman"/>
              </w:rPr>
              <w:t>), z których większość jest przyłączona do sieci gazowych.</w:t>
            </w:r>
            <w:r>
              <w:rPr>
                <w:rFonts w:ascii="Times New Roman" w:hAnsi="Times New Roman"/>
              </w:rPr>
              <w:t xml:space="preserve"> Pozostali liderzy to: Francja (131), Wielka Brytania (80) i Szwecja (70).</w:t>
            </w:r>
          </w:p>
          <w:p w14:paraId="7653D55F" w14:textId="7DD5D746" w:rsidR="00ED3780" w:rsidRPr="00687093" w:rsidRDefault="00ED3780" w:rsidP="00ED3780">
            <w:pPr>
              <w:spacing w:after="120" w:line="240" w:lineRule="auto"/>
              <w:jc w:val="both"/>
              <w:rPr>
                <w:rFonts w:ascii="Times New Roman" w:hAnsi="Times New Roman"/>
                <w:bCs/>
              </w:rPr>
            </w:pPr>
            <w:r w:rsidRPr="00687093">
              <w:rPr>
                <w:rFonts w:ascii="Times New Roman" w:hAnsi="Times New Roman"/>
              </w:rPr>
              <w:t xml:space="preserve">Jeżeli chodzi o wykorzystanie biogazu lub </w:t>
            </w:r>
            <w:proofErr w:type="spellStart"/>
            <w:r w:rsidRPr="00687093">
              <w:rPr>
                <w:rFonts w:ascii="Times New Roman" w:hAnsi="Times New Roman"/>
              </w:rPr>
              <w:t>biometanu</w:t>
            </w:r>
            <w:proofErr w:type="spellEnd"/>
            <w:r w:rsidRPr="00687093">
              <w:rPr>
                <w:rFonts w:ascii="Times New Roman" w:hAnsi="Times New Roman"/>
              </w:rPr>
              <w:t xml:space="preserve"> do celów transportowych, to wynosi ono obecnie w UE zaledwie 6,1% zużycia biogazu/</w:t>
            </w:r>
            <w:proofErr w:type="spellStart"/>
            <w:r w:rsidRPr="00687093">
              <w:rPr>
                <w:rFonts w:ascii="Times New Roman" w:hAnsi="Times New Roman"/>
              </w:rPr>
              <w:t>biometanu</w:t>
            </w:r>
            <w:proofErr w:type="spellEnd"/>
            <w:r w:rsidRPr="00687093">
              <w:rPr>
                <w:rFonts w:ascii="Times New Roman" w:hAnsi="Times New Roman"/>
              </w:rPr>
              <w:t xml:space="preserve"> ogółem, ponieważ jak wskazano powyżej, paliwo to jest wykorzystywane przede wszystkim w elektroenergetyce. Liderami w zakresie wykorzystania do celów transportowych są: Szwecja (113 mln m</w:t>
            </w:r>
            <w:r w:rsidRPr="00687093">
              <w:rPr>
                <w:rFonts w:ascii="Times New Roman" w:hAnsi="Times New Roman"/>
                <w:vertAlign w:val="superscript"/>
              </w:rPr>
              <w:t>3</w:t>
            </w:r>
            <w:r w:rsidRPr="00687093">
              <w:rPr>
                <w:rFonts w:ascii="Times New Roman" w:hAnsi="Times New Roman"/>
              </w:rPr>
              <w:t>), Niemcy (35 mln m</w:t>
            </w:r>
            <w:r w:rsidRPr="00687093">
              <w:rPr>
                <w:rFonts w:ascii="Times New Roman" w:hAnsi="Times New Roman"/>
                <w:vertAlign w:val="superscript"/>
              </w:rPr>
              <w:t>3</w:t>
            </w:r>
            <w:r w:rsidRPr="00687093">
              <w:rPr>
                <w:rFonts w:ascii="Times New Roman" w:hAnsi="Times New Roman"/>
              </w:rPr>
              <w:t>) i Norwegia (10 mln m</w:t>
            </w:r>
            <w:r w:rsidRPr="00687093">
              <w:rPr>
                <w:rFonts w:ascii="Times New Roman" w:hAnsi="Times New Roman"/>
                <w:vertAlign w:val="superscript"/>
              </w:rPr>
              <w:t>3</w:t>
            </w:r>
            <w:r w:rsidRPr="00687093">
              <w:rPr>
                <w:rFonts w:ascii="Times New Roman" w:hAnsi="Times New Roman"/>
              </w:rPr>
              <w:t>). Natomiast największy europejski rynek konsumpcji gazu ziemnego CNG – Włochy (1,4 mld m</w:t>
            </w:r>
            <w:r w:rsidRPr="00687093">
              <w:rPr>
                <w:rFonts w:ascii="Times New Roman" w:hAnsi="Times New Roman"/>
                <w:vertAlign w:val="superscript"/>
              </w:rPr>
              <w:t>3</w:t>
            </w:r>
            <w:r w:rsidRPr="00687093">
              <w:rPr>
                <w:rFonts w:ascii="Times New Roman" w:hAnsi="Times New Roman"/>
              </w:rPr>
              <w:t xml:space="preserve"> CNG rocznie wykorzystywanego do napędu ok. 972 tys. aut, źródło: </w:t>
            </w:r>
            <w:hyperlink r:id="rId14" w:history="1">
              <w:r w:rsidRPr="00687093">
                <w:rPr>
                  <w:rStyle w:val="Hipercze"/>
                  <w:rFonts w:ascii="Times New Roman" w:hAnsi="Times New Roman"/>
                </w:rPr>
                <w:t>https://www.eafo.eu/countries/italy/1739/summary</w:t>
              </w:r>
            </w:hyperlink>
            <w:r w:rsidRPr="00687093">
              <w:rPr>
                <w:rFonts w:ascii="Times New Roman" w:hAnsi="Times New Roman"/>
              </w:rPr>
              <w:t xml:space="preserve">) systematycznie rozwijają potencjał tego sektora wykorzystując do tego celu program pomocowy nr </w:t>
            </w:r>
            <w:r w:rsidRPr="00687093">
              <w:rPr>
                <w:rFonts w:ascii="Times New Roman" w:hAnsi="Times New Roman"/>
                <w:bCs/>
              </w:rPr>
              <w:t xml:space="preserve">SA.48424 (2017/N) </w:t>
            </w:r>
            <w:r w:rsidR="00F313CD">
              <w:rPr>
                <w:rFonts w:ascii="Times New Roman" w:hAnsi="Times New Roman"/>
                <w:bCs/>
              </w:rPr>
              <w:t>–</w:t>
            </w:r>
            <w:r w:rsidRPr="00687093">
              <w:rPr>
                <w:rFonts w:ascii="Times New Roman" w:hAnsi="Times New Roman"/>
                <w:bCs/>
              </w:rPr>
              <w:t xml:space="preserve"> </w:t>
            </w:r>
            <w:proofErr w:type="spellStart"/>
            <w:r w:rsidRPr="00D34F3C">
              <w:rPr>
                <w:rFonts w:ascii="Times New Roman" w:hAnsi="Times New Roman"/>
                <w:bCs/>
              </w:rPr>
              <w:t>Italy</w:t>
            </w:r>
            <w:proofErr w:type="spellEnd"/>
            <w:r w:rsidRPr="00D34F3C">
              <w:rPr>
                <w:rFonts w:ascii="Times New Roman" w:hAnsi="Times New Roman"/>
                <w:bCs/>
              </w:rPr>
              <w:t xml:space="preserve"> - </w:t>
            </w:r>
            <w:proofErr w:type="spellStart"/>
            <w:r w:rsidRPr="00D34F3C">
              <w:rPr>
                <w:rFonts w:ascii="Times New Roman" w:hAnsi="Times New Roman"/>
                <w:bCs/>
              </w:rPr>
              <w:t>Support</w:t>
            </w:r>
            <w:proofErr w:type="spellEnd"/>
            <w:r w:rsidRPr="00D34F3C">
              <w:rPr>
                <w:rFonts w:ascii="Times New Roman" w:hAnsi="Times New Roman"/>
                <w:bCs/>
              </w:rPr>
              <w:t xml:space="preserve"> </w:t>
            </w:r>
            <w:proofErr w:type="spellStart"/>
            <w:r w:rsidRPr="00D34F3C">
              <w:rPr>
                <w:rFonts w:ascii="Times New Roman" w:hAnsi="Times New Roman"/>
                <w:bCs/>
              </w:rPr>
              <w:t>scheme</w:t>
            </w:r>
            <w:proofErr w:type="spellEnd"/>
            <w:r w:rsidRPr="00D34F3C">
              <w:rPr>
                <w:rFonts w:ascii="Times New Roman" w:hAnsi="Times New Roman"/>
                <w:bCs/>
              </w:rPr>
              <w:t xml:space="preserve"> for the </w:t>
            </w:r>
            <w:proofErr w:type="spellStart"/>
            <w:r w:rsidRPr="00D34F3C">
              <w:rPr>
                <w:rFonts w:ascii="Times New Roman" w:hAnsi="Times New Roman"/>
                <w:bCs/>
              </w:rPr>
              <w:t>production</w:t>
            </w:r>
            <w:proofErr w:type="spellEnd"/>
            <w:r w:rsidRPr="00D34F3C">
              <w:rPr>
                <w:rFonts w:ascii="Times New Roman" w:hAnsi="Times New Roman"/>
                <w:bCs/>
              </w:rPr>
              <w:t xml:space="preserve"> and </w:t>
            </w:r>
            <w:proofErr w:type="spellStart"/>
            <w:r w:rsidRPr="00D34F3C">
              <w:rPr>
                <w:rFonts w:ascii="Times New Roman" w:hAnsi="Times New Roman"/>
                <w:bCs/>
              </w:rPr>
              <w:t>distribution</w:t>
            </w:r>
            <w:proofErr w:type="spellEnd"/>
            <w:r w:rsidRPr="00D34F3C">
              <w:rPr>
                <w:rFonts w:ascii="Times New Roman" w:hAnsi="Times New Roman"/>
                <w:bCs/>
              </w:rPr>
              <w:t xml:space="preserve"> of </w:t>
            </w:r>
            <w:proofErr w:type="spellStart"/>
            <w:r w:rsidRPr="00D34F3C">
              <w:rPr>
                <w:rFonts w:ascii="Times New Roman" w:hAnsi="Times New Roman"/>
                <w:bCs/>
              </w:rPr>
              <w:t>advanced</w:t>
            </w:r>
            <w:proofErr w:type="spellEnd"/>
            <w:r w:rsidRPr="00D34F3C">
              <w:rPr>
                <w:rFonts w:ascii="Times New Roman" w:hAnsi="Times New Roman"/>
                <w:bCs/>
              </w:rPr>
              <w:t xml:space="preserve"> </w:t>
            </w:r>
            <w:proofErr w:type="spellStart"/>
            <w:r w:rsidRPr="00D34F3C">
              <w:rPr>
                <w:rFonts w:ascii="Times New Roman" w:hAnsi="Times New Roman"/>
                <w:bCs/>
              </w:rPr>
              <w:t>biomethane</w:t>
            </w:r>
            <w:proofErr w:type="spellEnd"/>
            <w:r w:rsidRPr="00D34F3C">
              <w:rPr>
                <w:rFonts w:ascii="Times New Roman" w:hAnsi="Times New Roman"/>
                <w:bCs/>
              </w:rPr>
              <w:t xml:space="preserve"> and </w:t>
            </w:r>
            <w:proofErr w:type="spellStart"/>
            <w:r w:rsidRPr="00D34F3C">
              <w:rPr>
                <w:rFonts w:ascii="Times New Roman" w:hAnsi="Times New Roman"/>
                <w:bCs/>
              </w:rPr>
              <w:t>other</w:t>
            </w:r>
            <w:proofErr w:type="spellEnd"/>
            <w:r w:rsidRPr="00D34F3C">
              <w:rPr>
                <w:rFonts w:ascii="Times New Roman" w:hAnsi="Times New Roman"/>
                <w:bCs/>
              </w:rPr>
              <w:t xml:space="preserve"> </w:t>
            </w:r>
            <w:proofErr w:type="spellStart"/>
            <w:r w:rsidRPr="00D34F3C">
              <w:rPr>
                <w:rFonts w:ascii="Times New Roman" w:hAnsi="Times New Roman"/>
                <w:bCs/>
              </w:rPr>
              <w:t>advanced</w:t>
            </w:r>
            <w:proofErr w:type="spellEnd"/>
            <w:r w:rsidRPr="00D34F3C">
              <w:rPr>
                <w:rFonts w:ascii="Times New Roman" w:hAnsi="Times New Roman"/>
                <w:bCs/>
              </w:rPr>
              <w:t xml:space="preserve"> </w:t>
            </w:r>
            <w:proofErr w:type="spellStart"/>
            <w:r w:rsidRPr="00D34F3C">
              <w:rPr>
                <w:rFonts w:ascii="Times New Roman" w:hAnsi="Times New Roman"/>
                <w:bCs/>
              </w:rPr>
              <w:t>biofuels</w:t>
            </w:r>
            <w:proofErr w:type="spellEnd"/>
            <w:r w:rsidRPr="00D34F3C">
              <w:rPr>
                <w:rFonts w:ascii="Times New Roman" w:hAnsi="Times New Roman"/>
                <w:bCs/>
              </w:rPr>
              <w:t xml:space="preserve"> for </w:t>
            </w:r>
            <w:proofErr w:type="spellStart"/>
            <w:r w:rsidRPr="00D34F3C">
              <w:rPr>
                <w:rFonts w:ascii="Times New Roman" w:hAnsi="Times New Roman"/>
                <w:bCs/>
              </w:rPr>
              <w:t>use</w:t>
            </w:r>
            <w:proofErr w:type="spellEnd"/>
            <w:r w:rsidRPr="00D34F3C">
              <w:rPr>
                <w:rFonts w:ascii="Times New Roman" w:hAnsi="Times New Roman"/>
                <w:bCs/>
              </w:rPr>
              <w:t xml:space="preserve"> in the transport </w:t>
            </w:r>
            <w:proofErr w:type="spellStart"/>
            <w:r w:rsidRPr="00D34F3C">
              <w:rPr>
                <w:rFonts w:ascii="Times New Roman" w:hAnsi="Times New Roman"/>
                <w:bCs/>
              </w:rPr>
              <w:t>sector</w:t>
            </w:r>
            <w:proofErr w:type="spellEnd"/>
            <w:r w:rsidRPr="00687093">
              <w:rPr>
                <w:rFonts w:ascii="Times New Roman" w:hAnsi="Times New Roman"/>
                <w:bCs/>
              </w:rPr>
              <w:t xml:space="preserve"> (decyzja KE z dnia 1 marca 2018 r.).</w:t>
            </w:r>
          </w:p>
          <w:p w14:paraId="092D9673" w14:textId="77777777" w:rsidR="00ED3780" w:rsidRPr="00687093" w:rsidRDefault="00ED3780" w:rsidP="00ED3780">
            <w:pPr>
              <w:spacing w:after="120" w:line="240" w:lineRule="auto"/>
              <w:jc w:val="both"/>
              <w:rPr>
                <w:rFonts w:ascii="Times New Roman" w:hAnsi="Times New Roman"/>
              </w:rPr>
            </w:pPr>
            <w:r w:rsidRPr="00687093">
              <w:rPr>
                <w:rFonts w:ascii="Times New Roman" w:hAnsi="Times New Roman"/>
              </w:rPr>
              <w:t xml:space="preserve">W Szwecji aż 80,3% biogazu (tj. 118,47 </w:t>
            </w:r>
            <w:proofErr w:type="spellStart"/>
            <w:r w:rsidRPr="00687093">
              <w:rPr>
                <w:rFonts w:ascii="Times New Roman" w:hAnsi="Times New Roman"/>
              </w:rPr>
              <w:t>ktoe</w:t>
            </w:r>
            <w:proofErr w:type="spellEnd"/>
            <w:r w:rsidRPr="00687093">
              <w:rPr>
                <w:rFonts w:ascii="Times New Roman" w:hAnsi="Times New Roman"/>
              </w:rPr>
              <w:t xml:space="preserve"> w 2018 r.) zużywane jest w transporcie, co stanowi ok. 10% wartości całego celu OZE w transporcie. Odnawialne paliwo gazowe jest wykorzystywanego przede wszystkim w transporcie zbiorowym tj. komunikacji miejskiej. Model szwedzki bazuje na bezpośrednim wykorzystaniu biogazu, z którego korzysta ponad trzydzieści szwedzkich miast (</w:t>
            </w:r>
            <w:hyperlink r:id="rId15" w:history="1">
              <w:r w:rsidRPr="00687093">
                <w:rPr>
                  <w:rStyle w:val="Hipercze"/>
                  <w:rFonts w:ascii="Times New Roman" w:hAnsi="Times New Roman"/>
                </w:rPr>
                <w:t>http://scandinavianbiogas.com/en/about-biogas/</w:t>
              </w:r>
            </w:hyperlink>
            <w:r w:rsidRPr="00687093">
              <w:rPr>
                <w:rFonts w:ascii="Times New Roman" w:hAnsi="Times New Roman"/>
              </w:rPr>
              <w:t>) napędzając autobusy miejskie i pojazdy komunalne biogazem, bez konieczności zatłaczania go do sieci dystrybucyjnych, często wykorzystując do tego celu specjalnie przygotowane gazociągi łączące instalacje wytwarzania biogazu ze stacjami tankowania ulokowanymi na terenie zakładów taboru miejskiego. Natomiast w Niemczech będących największym producentem europejskiego biogazu (53,6% udział w europejskiej konsumpcji biogazu ogółem) na cele transportu wykorzystywane jest zaledwie 2,5% biogazu zużytego w tym kraju.</w:t>
            </w:r>
          </w:p>
          <w:p w14:paraId="34F173D9" w14:textId="544535C0" w:rsidR="00ED3780" w:rsidRDefault="00ED3780" w:rsidP="00ED3780">
            <w:pPr>
              <w:spacing w:after="120" w:line="240" w:lineRule="auto"/>
              <w:jc w:val="both"/>
              <w:rPr>
                <w:rFonts w:ascii="Times New Roman" w:hAnsi="Times New Roman"/>
              </w:rPr>
            </w:pPr>
            <w:r w:rsidRPr="00687093">
              <w:rPr>
                <w:rFonts w:ascii="Times New Roman" w:hAnsi="Times New Roman"/>
              </w:rPr>
              <w:t xml:space="preserve">Jednocześnie, z uwagi na postęp głównie w odniesieniu do metod oczyszczania i spadku kosztów z tym związanych, coraz częściej w UE rozważane jest zatłaczanie </w:t>
            </w:r>
            <w:proofErr w:type="spellStart"/>
            <w:r w:rsidRPr="00687093">
              <w:rPr>
                <w:rFonts w:ascii="Times New Roman" w:hAnsi="Times New Roman"/>
              </w:rPr>
              <w:t>biometanu</w:t>
            </w:r>
            <w:proofErr w:type="spellEnd"/>
            <w:r w:rsidRPr="00687093">
              <w:rPr>
                <w:rFonts w:ascii="Times New Roman" w:hAnsi="Times New Roman"/>
              </w:rPr>
              <w:t xml:space="preserve"> do sieci, jak też wykorzystanie tego paliwa na cele transportowe. Sprzyjać takiemu podejściu będą w kolejnych latach przede wszystkim </w:t>
            </w:r>
            <w:r w:rsidR="00195853">
              <w:rPr>
                <w:rFonts w:ascii="Times New Roman" w:hAnsi="Times New Roman"/>
              </w:rPr>
              <w:t>przepisy</w:t>
            </w:r>
            <w:r w:rsidR="00195853" w:rsidRPr="00687093">
              <w:rPr>
                <w:rFonts w:ascii="Times New Roman" w:hAnsi="Times New Roman"/>
              </w:rPr>
              <w:t xml:space="preserve"> </w:t>
            </w:r>
            <w:r w:rsidRPr="00687093">
              <w:rPr>
                <w:rFonts w:ascii="Times New Roman" w:hAnsi="Times New Roman"/>
              </w:rPr>
              <w:t>dyrektywy RED II, które wprowadzają ograniczenie ilościowe dla paliw z biomasy wytwarzanych z roślin spożywczych i pastewnych oraz wymóg uzyskania minimalnego poziomu biopaliw i biogazu (</w:t>
            </w:r>
            <w:proofErr w:type="spellStart"/>
            <w:r w:rsidRPr="00687093">
              <w:rPr>
                <w:rFonts w:ascii="Times New Roman" w:hAnsi="Times New Roman"/>
              </w:rPr>
              <w:t>biometanu</w:t>
            </w:r>
            <w:proofErr w:type="spellEnd"/>
            <w:r w:rsidRPr="00687093">
              <w:rPr>
                <w:rFonts w:ascii="Times New Roman" w:hAnsi="Times New Roman"/>
              </w:rPr>
              <w:t xml:space="preserve">) wytworzonego z surowców wskazanych z zał. IX cz. A dyrektywy </w:t>
            </w:r>
            <w:r w:rsidR="00064CC9">
              <w:rPr>
                <w:rFonts w:ascii="Times New Roman" w:hAnsi="Times New Roman"/>
              </w:rPr>
              <w:t>RED II</w:t>
            </w:r>
            <w:r w:rsidRPr="00687093">
              <w:rPr>
                <w:rFonts w:ascii="Times New Roman" w:hAnsi="Times New Roman"/>
              </w:rPr>
              <w:t xml:space="preserve">. </w:t>
            </w:r>
          </w:p>
          <w:p w14:paraId="2DF61CE8" w14:textId="77777777" w:rsidR="00ED3780" w:rsidRPr="00687093" w:rsidRDefault="00ED3780" w:rsidP="00ED3780">
            <w:pPr>
              <w:spacing w:line="240" w:lineRule="auto"/>
              <w:jc w:val="both"/>
              <w:rPr>
                <w:rFonts w:ascii="Times New Roman" w:hAnsi="Times New Roman"/>
                <w:b/>
                <w:i/>
              </w:rPr>
            </w:pPr>
            <w:r w:rsidRPr="000D3F79">
              <w:rPr>
                <w:rFonts w:ascii="Times New Roman" w:hAnsi="Times New Roman"/>
                <w:bCs/>
                <w:iCs/>
                <w:u w:val="single"/>
              </w:rPr>
              <w:t xml:space="preserve">Wykorzystanie </w:t>
            </w:r>
            <w:proofErr w:type="spellStart"/>
            <w:r w:rsidRPr="000D3F79">
              <w:rPr>
                <w:rFonts w:ascii="Times New Roman" w:hAnsi="Times New Roman"/>
                <w:bCs/>
                <w:iCs/>
                <w:u w:val="single"/>
              </w:rPr>
              <w:t>biometanu</w:t>
            </w:r>
            <w:proofErr w:type="spellEnd"/>
            <w:r w:rsidRPr="000D3F79">
              <w:rPr>
                <w:rFonts w:ascii="Times New Roman" w:hAnsi="Times New Roman"/>
                <w:bCs/>
                <w:iCs/>
                <w:u w:val="single"/>
              </w:rPr>
              <w:t xml:space="preserve"> do napędu pojazdów samochodowych</w:t>
            </w:r>
          </w:p>
          <w:p w14:paraId="55BFB849" w14:textId="77777777" w:rsidR="00ED3780" w:rsidRPr="00687093" w:rsidRDefault="00ED3780" w:rsidP="00ED3780">
            <w:pPr>
              <w:spacing w:after="120" w:line="240" w:lineRule="auto"/>
              <w:jc w:val="both"/>
              <w:rPr>
                <w:rFonts w:ascii="Times New Roman" w:hAnsi="Times New Roman"/>
              </w:rPr>
            </w:pPr>
            <w:r w:rsidRPr="00687093">
              <w:rPr>
                <w:rFonts w:ascii="Times New Roman" w:hAnsi="Times New Roman"/>
              </w:rPr>
              <w:t xml:space="preserve">Projekt ustawy zakłada </w:t>
            </w:r>
            <w:r>
              <w:rPr>
                <w:rFonts w:ascii="Times New Roman" w:hAnsi="Times New Roman"/>
              </w:rPr>
              <w:t xml:space="preserve">wprowadzenie formalnych procedur umożliwiających wytwarzanie </w:t>
            </w:r>
            <w:proofErr w:type="spellStart"/>
            <w:r>
              <w:rPr>
                <w:rFonts w:ascii="Times New Roman" w:hAnsi="Times New Roman"/>
              </w:rPr>
              <w:t>biometanu</w:t>
            </w:r>
            <w:proofErr w:type="spellEnd"/>
            <w:r>
              <w:rPr>
                <w:rFonts w:ascii="Times New Roman" w:hAnsi="Times New Roman"/>
              </w:rPr>
              <w:t xml:space="preserve">, który może być wykorzystywany </w:t>
            </w:r>
            <w:r w:rsidRPr="00687093">
              <w:rPr>
                <w:rFonts w:ascii="Times New Roman" w:hAnsi="Times New Roman"/>
              </w:rPr>
              <w:t>bezpośredni</w:t>
            </w:r>
            <w:r>
              <w:rPr>
                <w:rFonts w:ascii="Times New Roman" w:hAnsi="Times New Roman"/>
              </w:rPr>
              <w:t>o</w:t>
            </w:r>
            <w:r w:rsidRPr="00687093">
              <w:rPr>
                <w:rFonts w:ascii="Times New Roman" w:hAnsi="Times New Roman"/>
              </w:rPr>
              <w:t xml:space="preserve"> do napędu silników spalinowych dostosowanych do tego rodzaju paliwa. Stosowanie zarówno CNG i LNG jak również </w:t>
            </w:r>
            <w:proofErr w:type="spellStart"/>
            <w:r w:rsidRPr="00687093">
              <w:rPr>
                <w:rFonts w:ascii="Times New Roman" w:hAnsi="Times New Roman"/>
              </w:rPr>
              <w:t>bioCNG</w:t>
            </w:r>
            <w:proofErr w:type="spellEnd"/>
            <w:r w:rsidRPr="00687093">
              <w:rPr>
                <w:rFonts w:ascii="Times New Roman" w:hAnsi="Times New Roman"/>
              </w:rPr>
              <w:t xml:space="preserve"> i </w:t>
            </w:r>
            <w:proofErr w:type="spellStart"/>
            <w:r w:rsidRPr="00687093">
              <w:rPr>
                <w:rFonts w:ascii="Times New Roman" w:hAnsi="Times New Roman"/>
              </w:rPr>
              <w:t>bioLNG</w:t>
            </w:r>
            <w:proofErr w:type="spellEnd"/>
            <w:r w:rsidRPr="00687093">
              <w:rPr>
                <w:rFonts w:ascii="Times New Roman" w:hAnsi="Times New Roman"/>
              </w:rPr>
              <w:t xml:space="preserve"> wciąż ma duże perspektywy w UE, choć rozwój tego sektora jest ograniczony z uwagi na dostępność pojazdów dostosowanych do tego paliwa gazowego. </w:t>
            </w:r>
          </w:p>
          <w:p w14:paraId="5E2DE624" w14:textId="120C48E3" w:rsidR="00ED3780" w:rsidRDefault="00ED3780" w:rsidP="004B458B">
            <w:pPr>
              <w:spacing w:after="120" w:line="240" w:lineRule="auto"/>
              <w:jc w:val="both"/>
              <w:rPr>
                <w:rFonts w:ascii="Times New Roman" w:hAnsi="Times New Roman"/>
                <w:b/>
                <w:u w:val="single"/>
              </w:rPr>
            </w:pPr>
            <w:r w:rsidRPr="00687093">
              <w:rPr>
                <w:rFonts w:ascii="Times New Roman" w:hAnsi="Times New Roman"/>
              </w:rPr>
              <w:t>Na terenie UE liczba użytkowanych pojazdów CNG jest wciąż stosunkowo niewielka (</w:t>
            </w:r>
            <w:hyperlink r:id="rId16" w:history="1">
              <w:r w:rsidRPr="00687093">
                <w:rPr>
                  <w:rStyle w:val="Hipercze"/>
                  <w:rFonts w:ascii="Times New Roman" w:hAnsi="Times New Roman"/>
                </w:rPr>
                <w:t>www.eafo.eu</w:t>
              </w:r>
            </w:hyperlink>
            <w:r w:rsidRPr="00687093">
              <w:rPr>
                <w:rFonts w:ascii="Times New Roman" w:hAnsi="Times New Roman"/>
              </w:rPr>
              <w:t>), wynosi zaledwie ok. 1,197 mln aut osobowych na 269,060 mln wszystkich pojazdów osobowych. W 2019 r. w całej UE zarejestrowano 90 tys.</w:t>
            </w:r>
            <w:r w:rsidRPr="00687093">
              <w:rPr>
                <w:rStyle w:val="Odwoanieprzypisudolnego"/>
                <w:rFonts w:ascii="Times New Roman" w:hAnsi="Times New Roman"/>
              </w:rPr>
              <w:footnoteReference w:id="2"/>
            </w:r>
            <w:r w:rsidRPr="00687093">
              <w:rPr>
                <w:rFonts w:ascii="Times New Roman" w:hAnsi="Times New Roman"/>
              </w:rPr>
              <w:t xml:space="preserve"> pojazdów CNG (</w:t>
            </w:r>
            <w:hyperlink r:id="rId17" w:history="1">
              <w:r w:rsidRPr="00687093">
                <w:rPr>
                  <w:rStyle w:val="Hipercze"/>
                  <w:rFonts w:ascii="Times New Roman" w:hAnsi="Times New Roman"/>
                </w:rPr>
                <w:t>https://cng-lng.pl/wiadomosci/W-2019-r.-w-UE-przybylo-blisko-90-tys.-pojazdow-CNG-i-LNG,wiadomosc,9895.html</w:t>
              </w:r>
            </w:hyperlink>
            <w:r w:rsidRPr="00687093">
              <w:rPr>
                <w:rFonts w:ascii="Times New Roman" w:hAnsi="Times New Roman"/>
              </w:rPr>
              <w:t>), w tym 70 tys. samochodów osobowych, spośród których we Włoszech zarejestrowano aż 55%, w Ni</w:t>
            </w:r>
            <w:r w:rsidR="00025887">
              <w:rPr>
                <w:rFonts w:ascii="Times New Roman" w:hAnsi="Times New Roman"/>
              </w:rPr>
              <w:t>e</w:t>
            </w:r>
            <w:r w:rsidRPr="00687093">
              <w:rPr>
                <w:rFonts w:ascii="Times New Roman" w:hAnsi="Times New Roman"/>
              </w:rPr>
              <w:t>mczech - ok. 11% i po ok. 8% w Hiszpanii i S</w:t>
            </w:r>
            <w:r w:rsidR="00025887">
              <w:rPr>
                <w:rFonts w:ascii="Times New Roman" w:hAnsi="Times New Roman"/>
              </w:rPr>
              <w:t>zwecji</w:t>
            </w:r>
            <w:r w:rsidRPr="00687093">
              <w:rPr>
                <w:rFonts w:ascii="Times New Roman" w:hAnsi="Times New Roman"/>
              </w:rPr>
              <w:t>.</w:t>
            </w:r>
          </w:p>
          <w:p w14:paraId="14CDC5B1" w14:textId="6268D7C2" w:rsidR="00ED3780" w:rsidRPr="00870F69" w:rsidRDefault="0043067B" w:rsidP="00F501A2">
            <w:pPr>
              <w:spacing w:line="240" w:lineRule="auto"/>
              <w:jc w:val="both"/>
              <w:rPr>
                <w:rFonts w:ascii="Times New Roman" w:hAnsi="Times New Roman"/>
                <w:b/>
                <w:u w:val="single"/>
              </w:rPr>
            </w:pPr>
            <w:r w:rsidRPr="00870F69">
              <w:rPr>
                <w:rFonts w:ascii="Times New Roman" w:hAnsi="Times New Roman"/>
                <w:b/>
                <w:u w:val="single"/>
              </w:rPr>
              <w:t>II. Klastry energii</w:t>
            </w:r>
          </w:p>
          <w:p w14:paraId="110592B7" w14:textId="507CEA2F" w:rsidR="004C7C6C" w:rsidRDefault="004C7C6C" w:rsidP="004B458B">
            <w:pPr>
              <w:spacing w:after="120"/>
              <w:jc w:val="both"/>
              <w:rPr>
                <w:rFonts w:ascii="Times New Roman" w:hAnsi="Times New Roman"/>
              </w:rPr>
            </w:pPr>
            <w:r>
              <w:rPr>
                <w:rFonts w:ascii="Times New Roman" w:hAnsi="Times New Roman"/>
              </w:rPr>
              <w:t xml:space="preserve">Klastry energii wpisują się w ogólną zasadę zwiększania </w:t>
            </w:r>
            <w:r w:rsidRPr="00710024">
              <w:rPr>
                <w:rFonts w:ascii="Times New Roman" w:hAnsi="Times New Roman"/>
              </w:rPr>
              <w:t xml:space="preserve">roli lokalnych społeczności energetycznych w transformacji energetycznej w Europie zawartą w </w:t>
            </w:r>
            <w:r>
              <w:rPr>
                <w:rFonts w:ascii="Times New Roman" w:hAnsi="Times New Roman"/>
              </w:rPr>
              <w:t>unijnym pakiecie „</w:t>
            </w:r>
            <w:r w:rsidRPr="00710024">
              <w:rPr>
                <w:rFonts w:ascii="Times New Roman" w:hAnsi="Times New Roman"/>
              </w:rPr>
              <w:t>Czysta energia dla wszystkich Europejczyków</w:t>
            </w:r>
            <w:r>
              <w:rPr>
                <w:rFonts w:ascii="Times New Roman" w:hAnsi="Times New Roman"/>
              </w:rPr>
              <w:t>”. W O</w:t>
            </w:r>
            <w:r w:rsidRPr="007466E5">
              <w:rPr>
                <w:rFonts w:ascii="Times New Roman" w:hAnsi="Times New Roman"/>
              </w:rPr>
              <w:t>pinii Europejskiego Komitetu Regionów „Modele lokalnej kontroli nad energetyką i rola lokalnych społeczności energetycznych w transformacji energetycznej w Europie”</w:t>
            </w:r>
            <w:r>
              <w:rPr>
                <w:rFonts w:ascii="Times New Roman" w:hAnsi="Times New Roman"/>
              </w:rPr>
              <w:t xml:space="preserve"> </w:t>
            </w:r>
            <w:r w:rsidRPr="007466E5">
              <w:rPr>
                <w:rFonts w:ascii="Times New Roman" w:hAnsi="Times New Roman"/>
              </w:rPr>
              <w:t>(2019/C 86/05)</w:t>
            </w:r>
            <w:r>
              <w:rPr>
                <w:rFonts w:ascii="Times New Roman" w:hAnsi="Times New Roman"/>
              </w:rPr>
              <w:t xml:space="preserve"> </w:t>
            </w:r>
            <w:r w:rsidR="00195853">
              <w:rPr>
                <w:rFonts w:ascii="Times New Roman" w:hAnsi="Times New Roman"/>
              </w:rPr>
              <w:t>zawarto</w:t>
            </w:r>
            <w:r>
              <w:rPr>
                <w:rFonts w:ascii="Times New Roman" w:hAnsi="Times New Roman"/>
              </w:rPr>
              <w:t>, że „</w:t>
            </w:r>
            <w:r>
              <w:rPr>
                <w:rFonts w:ascii="Times New Roman" w:hAnsi="Times New Roman"/>
                <w:i/>
              </w:rPr>
              <w:t>l</w:t>
            </w:r>
            <w:r w:rsidRPr="007466E5">
              <w:rPr>
                <w:rFonts w:ascii="Times New Roman" w:hAnsi="Times New Roman"/>
                <w:i/>
              </w:rPr>
              <w:t>okalne wspólnoty energetyczne</w:t>
            </w:r>
            <w:r w:rsidRPr="007466E5">
              <w:rPr>
                <w:rFonts w:ascii="Times New Roman" w:hAnsi="Times New Roman"/>
              </w:rPr>
              <w:t xml:space="preserve"> mogą odgrywać istotną rolę w przemianach energetycznych i sprzyjać rozwojowi zrównoważonych technologii energetycznych korzystnych dla społeczności lokalnych i dla UE jako całości</w:t>
            </w:r>
            <w:r>
              <w:rPr>
                <w:rFonts w:ascii="Times New Roman" w:hAnsi="Times New Roman"/>
              </w:rPr>
              <w:t>”</w:t>
            </w:r>
            <w:r w:rsidRPr="007466E5">
              <w:rPr>
                <w:rFonts w:ascii="Times New Roman" w:hAnsi="Times New Roman"/>
              </w:rPr>
              <w:t>.</w:t>
            </w:r>
            <w:r>
              <w:rPr>
                <w:rFonts w:ascii="Times New Roman" w:hAnsi="Times New Roman"/>
              </w:rPr>
              <w:t xml:space="preserve"> W Unii Europejskiej w zakresie społeczności energetycznych dominują rozwiązania będące wynikiem bezpośredniego wdrożenia dyrektywy RED II oraz </w:t>
            </w:r>
            <w:r w:rsidRPr="004B42E7">
              <w:rPr>
                <w:rFonts w:ascii="Times New Roman" w:hAnsi="Times New Roman"/>
              </w:rPr>
              <w:t>Dyrektywy Parlamentu Europejskiego i Rady (UE) 2019/944 z dnia 5 czerwca 2019 r. w sprawie wspólnych zasad rynku wewnętrznego energii elektrycznej oraz zmieniającej dyrektywę 2012/27/UE. Proponują one następujące rozwiązania dla wspólnot energetycznych:</w:t>
            </w:r>
            <w:r>
              <w:t xml:space="preserve"> </w:t>
            </w:r>
          </w:p>
          <w:p w14:paraId="1DDA35F2" w14:textId="77777777" w:rsidR="004C7C6C" w:rsidRPr="007466E5" w:rsidRDefault="004C7C6C" w:rsidP="004C7C6C">
            <w:pPr>
              <w:pStyle w:val="Akapitzlist"/>
              <w:numPr>
                <w:ilvl w:val="0"/>
                <w:numId w:val="172"/>
              </w:numPr>
              <w:spacing w:after="120"/>
              <w:jc w:val="both"/>
              <w:rPr>
                <w:rFonts w:ascii="Times New Roman" w:hAnsi="Times New Roman"/>
              </w:rPr>
            </w:pPr>
            <w:r w:rsidRPr="007466E5">
              <w:rPr>
                <w:rFonts w:ascii="Times New Roman" w:hAnsi="Times New Roman"/>
              </w:rPr>
              <w:t>społeczność energetyczn</w:t>
            </w:r>
            <w:r>
              <w:rPr>
                <w:rFonts w:ascii="Times New Roman" w:hAnsi="Times New Roman"/>
              </w:rPr>
              <w:t>ą</w:t>
            </w:r>
            <w:r w:rsidRPr="007466E5">
              <w:rPr>
                <w:rFonts w:ascii="Times New Roman" w:hAnsi="Times New Roman"/>
              </w:rPr>
              <w:t xml:space="preserve"> działając</w:t>
            </w:r>
            <w:r>
              <w:rPr>
                <w:rFonts w:ascii="Times New Roman" w:hAnsi="Times New Roman"/>
              </w:rPr>
              <w:t>ą</w:t>
            </w:r>
            <w:r w:rsidRPr="007466E5">
              <w:rPr>
                <w:rFonts w:ascii="Times New Roman" w:hAnsi="Times New Roman"/>
              </w:rPr>
              <w:t xml:space="preserve"> w zakresie energii odnawialnej (REC – </w:t>
            </w:r>
            <w:proofErr w:type="spellStart"/>
            <w:r w:rsidRPr="007466E5">
              <w:rPr>
                <w:rFonts w:ascii="Times New Roman" w:hAnsi="Times New Roman"/>
              </w:rPr>
              <w:t>Renewable</w:t>
            </w:r>
            <w:proofErr w:type="spellEnd"/>
            <w:r w:rsidRPr="007466E5">
              <w:rPr>
                <w:rFonts w:ascii="Times New Roman" w:hAnsi="Times New Roman"/>
              </w:rPr>
              <w:t xml:space="preserve"> Energy </w:t>
            </w:r>
            <w:proofErr w:type="spellStart"/>
            <w:r w:rsidRPr="007466E5">
              <w:rPr>
                <w:rFonts w:ascii="Times New Roman" w:hAnsi="Times New Roman"/>
              </w:rPr>
              <w:t>Community</w:t>
            </w:r>
            <w:proofErr w:type="spellEnd"/>
            <w:r w:rsidRPr="007466E5">
              <w:rPr>
                <w:rFonts w:ascii="Times New Roman" w:hAnsi="Times New Roman"/>
              </w:rPr>
              <w:t>),</w:t>
            </w:r>
          </w:p>
          <w:p w14:paraId="575458FC" w14:textId="77777777" w:rsidR="004C7C6C" w:rsidRPr="007466E5" w:rsidRDefault="004C7C6C" w:rsidP="004C7C6C">
            <w:pPr>
              <w:pStyle w:val="Akapitzlist"/>
              <w:numPr>
                <w:ilvl w:val="0"/>
                <w:numId w:val="172"/>
              </w:numPr>
              <w:spacing w:after="120"/>
              <w:jc w:val="both"/>
              <w:rPr>
                <w:rFonts w:ascii="Times New Roman" w:hAnsi="Times New Roman"/>
              </w:rPr>
            </w:pPr>
            <w:r w:rsidRPr="007466E5">
              <w:rPr>
                <w:rFonts w:ascii="Times New Roman" w:hAnsi="Times New Roman"/>
              </w:rPr>
              <w:t>obywatelsk</w:t>
            </w:r>
            <w:r>
              <w:rPr>
                <w:rFonts w:ascii="Times New Roman" w:hAnsi="Times New Roman"/>
              </w:rPr>
              <w:t>ą</w:t>
            </w:r>
            <w:r w:rsidRPr="007466E5">
              <w:rPr>
                <w:rFonts w:ascii="Times New Roman" w:hAnsi="Times New Roman"/>
              </w:rPr>
              <w:t xml:space="preserve"> społeczność energetyczn</w:t>
            </w:r>
            <w:r>
              <w:rPr>
                <w:rFonts w:ascii="Times New Roman" w:hAnsi="Times New Roman"/>
              </w:rPr>
              <w:t>ą</w:t>
            </w:r>
            <w:r w:rsidRPr="007466E5">
              <w:rPr>
                <w:rFonts w:ascii="Times New Roman" w:hAnsi="Times New Roman"/>
              </w:rPr>
              <w:t xml:space="preserve"> (CEC – </w:t>
            </w:r>
            <w:proofErr w:type="spellStart"/>
            <w:r w:rsidRPr="007466E5">
              <w:rPr>
                <w:rFonts w:ascii="Times New Roman" w:hAnsi="Times New Roman"/>
              </w:rPr>
              <w:t>Citizens</w:t>
            </w:r>
            <w:proofErr w:type="spellEnd"/>
            <w:r w:rsidRPr="007466E5">
              <w:rPr>
                <w:rFonts w:ascii="Times New Roman" w:hAnsi="Times New Roman"/>
              </w:rPr>
              <w:t xml:space="preserve"> Energy </w:t>
            </w:r>
            <w:proofErr w:type="spellStart"/>
            <w:r w:rsidRPr="007466E5">
              <w:rPr>
                <w:rFonts w:ascii="Times New Roman" w:hAnsi="Times New Roman"/>
              </w:rPr>
              <w:t>Community</w:t>
            </w:r>
            <w:proofErr w:type="spellEnd"/>
            <w:r w:rsidRPr="007466E5">
              <w:rPr>
                <w:rFonts w:ascii="Times New Roman" w:hAnsi="Times New Roman"/>
              </w:rPr>
              <w:t>),</w:t>
            </w:r>
          </w:p>
          <w:p w14:paraId="59E68DBE" w14:textId="77777777" w:rsidR="004C7C6C" w:rsidRPr="00381B23" w:rsidRDefault="004C7C6C" w:rsidP="004C7C6C">
            <w:pPr>
              <w:pStyle w:val="Akapitzlist"/>
              <w:numPr>
                <w:ilvl w:val="0"/>
                <w:numId w:val="172"/>
              </w:numPr>
              <w:spacing w:after="120"/>
              <w:jc w:val="both"/>
              <w:rPr>
                <w:rFonts w:ascii="Times New Roman" w:hAnsi="Times New Roman"/>
              </w:rPr>
            </w:pPr>
            <w:r>
              <w:rPr>
                <w:rFonts w:ascii="Times New Roman" w:hAnsi="Times New Roman"/>
              </w:rPr>
              <w:t xml:space="preserve">zbiorowego </w:t>
            </w:r>
            <w:r w:rsidRPr="007466E5">
              <w:rPr>
                <w:rFonts w:ascii="Times New Roman" w:hAnsi="Times New Roman"/>
              </w:rPr>
              <w:t>prosumenta energii elektrycznej</w:t>
            </w:r>
            <w:r>
              <w:rPr>
                <w:rFonts w:ascii="Times New Roman" w:hAnsi="Times New Roman"/>
              </w:rPr>
              <w:t xml:space="preserve"> (CSC – </w:t>
            </w:r>
            <w:proofErr w:type="spellStart"/>
            <w:r w:rsidRPr="00381B23">
              <w:rPr>
                <w:rFonts w:ascii="Times New Roman" w:hAnsi="Times New Roman"/>
              </w:rPr>
              <w:t>Collective</w:t>
            </w:r>
            <w:proofErr w:type="spellEnd"/>
            <w:r w:rsidRPr="00381B23">
              <w:rPr>
                <w:rFonts w:ascii="Times New Roman" w:hAnsi="Times New Roman"/>
              </w:rPr>
              <w:t xml:space="preserve"> </w:t>
            </w:r>
            <w:proofErr w:type="spellStart"/>
            <w:r w:rsidRPr="00381B23">
              <w:rPr>
                <w:rFonts w:ascii="Times New Roman" w:hAnsi="Times New Roman"/>
              </w:rPr>
              <w:t>Self</w:t>
            </w:r>
            <w:proofErr w:type="spellEnd"/>
            <w:r w:rsidRPr="00381B23">
              <w:rPr>
                <w:rFonts w:ascii="Times New Roman" w:hAnsi="Times New Roman"/>
              </w:rPr>
              <w:t>-Consumer)</w:t>
            </w:r>
            <w:r>
              <w:rPr>
                <w:rFonts w:ascii="Times New Roman" w:hAnsi="Times New Roman"/>
              </w:rPr>
              <w:t>.</w:t>
            </w:r>
          </w:p>
          <w:p w14:paraId="7CD895D3" w14:textId="5BDEDAD3" w:rsidR="004C7C6C" w:rsidRDefault="004C7C6C" w:rsidP="004C7C6C">
            <w:pPr>
              <w:spacing w:after="120" w:line="240" w:lineRule="auto"/>
              <w:jc w:val="both"/>
              <w:rPr>
                <w:rFonts w:ascii="Times New Roman" w:hAnsi="Times New Roman"/>
              </w:rPr>
            </w:pPr>
            <w:r>
              <w:rPr>
                <w:rFonts w:ascii="Times New Roman" w:hAnsi="Times New Roman"/>
              </w:rPr>
              <w:lastRenderedPageBreak/>
              <w:t xml:space="preserve">Przyjęte rozwiązania w krajach członkowskich zasadzają się na znacznej dowolności zrzeszania się członków takich społeczności, akcentują jednak zasadę stworzenia nowego podmiotu posiadającego osobowość prawną, czego nie zakładają nowelizowane </w:t>
            </w:r>
            <w:r w:rsidR="00195853">
              <w:rPr>
                <w:rFonts w:ascii="Times New Roman" w:hAnsi="Times New Roman"/>
              </w:rPr>
              <w:t>przepisy</w:t>
            </w:r>
            <w:r w:rsidR="004C0172">
              <w:rPr>
                <w:rFonts w:ascii="Times New Roman" w:hAnsi="Times New Roman"/>
              </w:rPr>
              <w:t xml:space="preserve"> </w:t>
            </w:r>
            <w:r>
              <w:rPr>
                <w:rFonts w:ascii="Times New Roman" w:hAnsi="Times New Roman"/>
              </w:rPr>
              <w:t>u</w:t>
            </w:r>
            <w:r w:rsidR="00DD2877">
              <w:rPr>
                <w:rFonts w:ascii="Times New Roman" w:hAnsi="Times New Roman"/>
              </w:rPr>
              <w:t xml:space="preserve">stawy </w:t>
            </w:r>
            <w:r>
              <w:rPr>
                <w:rFonts w:ascii="Times New Roman" w:hAnsi="Times New Roman"/>
              </w:rPr>
              <w:t xml:space="preserve">OZE (np. </w:t>
            </w:r>
            <w:r w:rsidRPr="003F41D8">
              <w:rPr>
                <w:rFonts w:ascii="Times New Roman" w:hAnsi="Times New Roman"/>
              </w:rPr>
              <w:t>art. 2 pkt 11 dyrektywy 2019/944:</w:t>
            </w:r>
            <w:r w:rsidR="004C0172">
              <w:rPr>
                <w:rFonts w:ascii="Times New Roman" w:hAnsi="Times New Roman"/>
              </w:rPr>
              <w:t xml:space="preserve"> </w:t>
            </w:r>
            <w:r w:rsidRPr="003F41D8">
              <w:rPr>
                <w:rFonts w:ascii="Times New Roman" w:hAnsi="Times New Roman"/>
              </w:rPr>
              <w:t>„</w:t>
            </w:r>
            <w:r w:rsidRPr="003F41D8">
              <w:rPr>
                <w:rFonts w:ascii="Times New Roman" w:hAnsi="Times New Roman"/>
                <w:i/>
              </w:rPr>
              <w:t>obywatelska społeczność energetyczna</w:t>
            </w:r>
            <w:r w:rsidRPr="003F41D8">
              <w:rPr>
                <w:rFonts w:ascii="Times New Roman" w:hAnsi="Times New Roman"/>
              </w:rPr>
              <w:t xml:space="preserve"> oznacza osobę prawną</w:t>
            </w:r>
            <w:r w:rsidR="00DD2877">
              <w:rPr>
                <w:rFonts w:ascii="Times New Roman" w:hAnsi="Times New Roman"/>
              </w:rPr>
              <w:t xml:space="preserve"> </w:t>
            </w:r>
            <w:r w:rsidRPr="003F41D8">
              <w:rPr>
                <w:rFonts w:ascii="Times New Roman" w:hAnsi="Times New Roman"/>
              </w:rPr>
              <w:t>(…)”</w:t>
            </w:r>
            <w:r>
              <w:rPr>
                <w:rFonts w:ascii="Times New Roman" w:hAnsi="Times New Roman"/>
              </w:rPr>
              <w:t xml:space="preserve">). </w:t>
            </w:r>
          </w:p>
          <w:p w14:paraId="1BF8BDC2" w14:textId="77777777" w:rsidR="004C7C6C" w:rsidRDefault="004C7C6C" w:rsidP="004C7C6C">
            <w:pPr>
              <w:spacing w:after="120" w:line="240" w:lineRule="auto"/>
              <w:jc w:val="both"/>
              <w:rPr>
                <w:rFonts w:ascii="Times New Roman" w:hAnsi="Times New Roman"/>
              </w:rPr>
            </w:pPr>
            <w:r>
              <w:rPr>
                <w:rFonts w:ascii="Times New Roman" w:hAnsi="Times New Roman"/>
              </w:rPr>
              <w:t>Klastry energii w ujęciu polskiego prawodawstwa nie mają bezpośredniego odpowiednika w krajach Unii Europejskiej, wpisują się jednak w nakreślony kierunek transformacji energetycznej i nadanie większej roli dobrowolnym, demokratycznym inicjatywom energetycznym łączącym różne podmioty, w tym samorząd, przedsiębiorców, jednostki badawcze, czy obywateli w zarządzanie energią na poziomie lokalnej społeczności.</w:t>
            </w:r>
          </w:p>
          <w:p w14:paraId="309489EE" w14:textId="77777777" w:rsidR="004C7C6C" w:rsidRPr="000D430C" w:rsidRDefault="004C7C6C" w:rsidP="005A707A">
            <w:pPr>
              <w:spacing w:line="240" w:lineRule="auto"/>
              <w:jc w:val="both"/>
              <w:rPr>
                <w:rFonts w:ascii="Times New Roman" w:hAnsi="Times New Roman"/>
                <w:u w:val="single"/>
              </w:rPr>
            </w:pPr>
            <w:r w:rsidRPr="000D430C">
              <w:rPr>
                <w:rFonts w:ascii="Times New Roman" w:hAnsi="Times New Roman"/>
                <w:u w:val="single"/>
              </w:rPr>
              <w:t>Grecja:</w:t>
            </w:r>
          </w:p>
          <w:p w14:paraId="4D7C29C1" w14:textId="77777777" w:rsidR="004C7C6C" w:rsidRDefault="004C7C6C" w:rsidP="004C7C6C">
            <w:pPr>
              <w:spacing w:after="120" w:line="240" w:lineRule="auto"/>
              <w:jc w:val="both"/>
              <w:rPr>
                <w:rFonts w:ascii="Times New Roman" w:hAnsi="Times New Roman"/>
              </w:rPr>
            </w:pPr>
            <w:r w:rsidRPr="000D430C">
              <w:rPr>
                <w:rFonts w:ascii="Times New Roman" w:hAnsi="Times New Roman"/>
              </w:rPr>
              <w:t xml:space="preserve">Wspólnoty energetyczne zostały wprowadzone do greckiego prawa w 2018 roku </w:t>
            </w:r>
            <w:r w:rsidRPr="00437822">
              <w:rPr>
                <w:rFonts w:ascii="Times New Roman" w:hAnsi="Times New Roman"/>
              </w:rPr>
              <w:t>ustawą 4513/2018 </w:t>
            </w:r>
            <w:r>
              <w:rPr>
                <w:rFonts w:ascii="Times New Roman" w:hAnsi="Times New Roman"/>
              </w:rPr>
              <w:t xml:space="preserve">o wspólnotach energetycznych. </w:t>
            </w:r>
            <w:r w:rsidRPr="00437822">
              <w:rPr>
                <w:rFonts w:ascii="Times New Roman" w:hAnsi="Times New Roman"/>
              </w:rPr>
              <w:t xml:space="preserve">Głównym celem </w:t>
            </w:r>
            <w:r>
              <w:rPr>
                <w:rFonts w:ascii="Times New Roman" w:hAnsi="Times New Roman"/>
              </w:rPr>
              <w:t>wspólnot</w:t>
            </w:r>
            <w:r w:rsidRPr="00437822">
              <w:rPr>
                <w:rFonts w:ascii="Times New Roman" w:hAnsi="Times New Roman"/>
              </w:rPr>
              <w:t xml:space="preserve"> energetycznych jest </w:t>
            </w:r>
            <w:r>
              <w:rPr>
                <w:rFonts w:ascii="Times New Roman" w:hAnsi="Times New Roman"/>
              </w:rPr>
              <w:t xml:space="preserve">zaadresowanie problemu ubóstwa energetycznego oraz </w:t>
            </w:r>
            <w:r w:rsidRPr="00437822">
              <w:rPr>
                <w:rFonts w:ascii="Times New Roman" w:hAnsi="Times New Roman"/>
              </w:rPr>
              <w:t>promowanie wartości ekonomii społecznej i innowacyjnych rozwiązań energetycznych , a także produkcja, dystrybucja i wymiana energii z odnawialnych źródeł energii, w skali lokalnej lub regionalnej. </w:t>
            </w:r>
          </w:p>
          <w:p w14:paraId="2F5AB718" w14:textId="77777777" w:rsidR="004C7C6C" w:rsidRPr="00E0515F" w:rsidRDefault="004C7C6C" w:rsidP="004C7C6C">
            <w:pPr>
              <w:spacing w:after="120" w:line="240" w:lineRule="auto"/>
              <w:jc w:val="both"/>
              <w:rPr>
                <w:rFonts w:ascii="Times New Roman" w:hAnsi="Times New Roman"/>
              </w:rPr>
            </w:pPr>
            <w:r>
              <w:rPr>
                <w:rFonts w:ascii="Times New Roman" w:hAnsi="Times New Roman"/>
              </w:rPr>
              <w:t xml:space="preserve">Ustawa </w:t>
            </w:r>
            <w:r w:rsidRPr="00E0515F">
              <w:rPr>
                <w:rFonts w:ascii="Times New Roman" w:hAnsi="Times New Roman"/>
              </w:rPr>
              <w:t>wprowadz</w:t>
            </w:r>
            <w:r>
              <w:rPr>
                <w:rFonts w:ascii="Times New Roman" w:hAnsi="Times New Roman"/>
              </w:rPr>
              <w:t>ił</w:t>
            </w:r>
            <w:r w:rsidRPr="00E0515F">
              <w:rPr>
                <w:rFonts w:ascii="Times New Roman" w:hAnsi="Times New Roman"/>
              </w:rPr>
              <w:t>a nowy rodzaj spółdzielni cywilnej</w:t>
            </w:r>
            <w:r>
              <w:rPr>
                <w:rFonts w:ascii="Times New Roman" w:hAnsi="Times New Roman"/>
              </w:rPr>
              <w:t xml:space="preserve">, która odbiega od innych, w pełni otwartych spółdzielni w kwestii ograniczeń członkostwa. </w:t>
            </w:r>
            <w:r w:rsidRPr="00E0515F">
              <w:rPr>
                <w:rFonts w:ascii="Times New Roman" w:hAnsi="Times New Roman"/>
              </w:rPr>
              <w:t xml:space="preserve">Członkami </w:t>
            </w:r>
            <w:r>
              <w:rPr>
                <w:rFonts w:ascii="Times New Roman" w:hAnsi="Times New Roman"/>
              </w:rPr>
              <w:t>wspólnoty energetycznej</w:t>
            </w:r>
            <w:r w:rsidRPr="00E0515F">
              <w:rPr>
                <w:rFonts w:ascii="Times New Roman" w:hAnsi="Times New Roman"/>
              </w:rPr>
              <w:t xml:space="preserve"> mogą być:</w:t>
            </w:r>
          </w:p>
          <w:p w14:paraId="462ECF5D" w14:textId="77777777" w:rsidR="004C7C6C" w:rsidRPr="00061F0A" w:rsidRDefault="004C7C6C" w:rsidP="004C7C6C">
            <w:pPr>
              <w:pStyle w:val="Akapitzlist"/>
              <w:numPr>
                <w:ilvl w:val="0"/>
                <w:numId w:val="172"/>
              </w:numPr>
              <w:spacing w:after="120"/>
              <w:jc w:val="both"/>
              <w:rPr>
                <w:rFonts w:ascii="Times New Roman" w:hAnsi="Times New Roman"/>
              </w:rPr>
            </w:pPr>
            <w:r w:rsidRPr="00061F0A">
              <w:rPr>
                <w:rFonts w:ascii="Times New Roman" w:hAnsi="Times New Roman"/>
              </w:rPr>
              <w:t>osoby fizyczne posiadające pełną zdolność do czynności prawnych;</w:t>
            </w:r>
          </w:p>
          <w:p w14:paraId="0CD5ECBE" w14:textId="77777777" w:rsidR="004C7C6C" w:rsidRPr="00061F0A" w:rsidRDefault="004C7C6C" w:rsidP="004C7C6C">
            <w:pPr>
              <w:pStyle w:val="Akapitzlist"/>
              <w:numPr>
                <w:ilvl w:val="0"/>
                <w:numId w:val="172"/>
              </w:numPr>
              <w:spacing w:after="120"/>
              <w:jc w:val="both"/>
              <w:rPr>
                <w:rFonts w:ascii="Times New Roman" w:hAnsi="Times New Roman"/>
              </w:rPr>
            </w:pPr>
            <w:r w:rsidRPr="00061F0A">
              <w:rPr>
                <w:rFonts w:ascii="Times New Roman" w:hAnsi="Times New Roman"/>
              </w:rPr>
              <w:t>osoby prawne prawa publicznego lub podmioty prywatne;</w:t>
            </w:r>
          </w:p>
          <w:p w14:paraId="05E7F338" w14:textId="41922EE1" w:rsidR="004C7C6C" w:rsidRDefault="004C7C6C" w:rsidP="004C7C6C">
            <w:pPr>
              <w:pStyle w:val="Akapitzlist"/>
              <w:numPr>
                <w:ilvl w:val="0"/>
                <w:numId w:val="172"/>
              </w:numPr>
              <w:spacing w:after="120"/>
              <w:jc w:val="both"/>
              <w:rPr>
                <w:rFonts w:ascii="Times New Roman" w:hAnsi="Times New Roman"/>
              </w:rPr>
            </w:pPr>
            <w:r>
              <w:rPr>
                <w:rFonts w:ascii="Times New Roman" w:hAnsi="Times New Roman"/>
              </w:rPr>
              <w:t xml:space="preserve">jednostki </w:t>
            </w:r>
            <w:r w:rsidRPr="00061F0A">
              <w:rPr>
                <w:rFonts w:ascii="Times New Roman" w:hAnsi="Times New Roman"/>
              </w:rPr>
              <w:t>samorząd</w:t>
            </w:r>
            <w:r>
              <w:rPr>
                <w:rFonts w:ascii="Times New Roman" w:hAnsi="Times New Roman"/>
              </w:rPr>
              <w:t>u terytorialnego</w:t>
            </w:r>
            <w:r w:rsidR="00F313CD">
              <w:rPr>
                <w:rFonts w:ascii="Times New Roman" w:hAnsi="Times New Roman"/>
              </w:rPr>
              <w:t>.</w:t>
            </w:r>
            <w:r w:rsidRPr="00061F0A">
              <w:rPr>
                <w:rFonts w:ascii="Times New Roman" w:hAnsi="Times New Roman"/>
              </w:rPr>
              <w:t xml:space="preserve"> </w:t>
            </w:r>
          </w:p>
          <w:p w14:paraId="2E6A55AE" w14:textId="0F7DC0F9" w:rsidR="004C7C6C" w:rsidRPr="00902015" w:rsidRDefault="004C7C6C" w:rsidP="004C7C6C">
            <w:pPr>
              <w:spacing w:after="120"/>
              <w:jc w:val="both"/>
              <w:rPr>
                <w:rFonts w:ascii="Times New Roman" w:hAnsi="Times New Roman"/>
              </w:rPr>
            </w:pPr>
            <w:r w:rsidRPr="00902015">
              <w:rPr>
                <w:rFonts w:ascii="Times New Roman" w:hAnsi="Times New Roman"/>
              </w:rPr>
              <w:t xml:space="preserve">Co najmniej 50% +1 z członków musi znajdować się w regionie, w którym </w:t>
            </w:r>
            <w:r>
              <w:rPr>
                <w:rFonts w:ascii="Times New Roman" w:hAnsi="Times New Roman"/>
              </w:rPr>
              <w:t>wspólnota</w:t>
            </w:r>
            <w:r w:rsidRPr="00902015">
              <w:rPr>
                <w:rFonts w:ascii="Times New Roman" w:hAnsi="Times New Roman"/>
              </w:rPr>
              <w:t xml:space="preserve"> ma swoją siedzibę. </w:t>
            </w:r>
            <w:r>
              <w:rPr>
                <w:rFonts w:ascii="Times New Roman" w:hAnsi="Times New Roman"/>
              </w:rPr>
              <w:t>Z zachęt</w:t>
            </w:r>
            <w:r w:rsidR="004C0172">
              <w:rPr>
                <w:rFonts w:ascii="Times New Roman" w:hAnsi="Times New Roman"/>
              </w:rPr>
              <w:t xml:space="preserve"> </w:t>
            </w:r>
            <w:r>
              <w:rPr>
                <w:rFonts w:ascii="Times New Roman" w:hAnsi="Times New Roman"/>
              </w:rPr>
              <w:t>finansowych przewidzianych dla wspólnot energetyczny w Grecji należy wymienić zniesienie opłaty za koncesję na wytwarzanie energii elektrycznej, czy ograniczenie opłaty za przystąpienie do aukcji w ramach systemu wsparcia OZE.</w:t>
            </w:r>
          </w:p>
          <w:p w14:paraId="4065BFBD" w14:textId="77777777" w:rsidR="004C7C6C" w:rsidRPr="00902015" w:rsidRDefault="004C7C6C" w:rsidP="005A707A">
            <w:pPr>
              <w:spacing w:line="240" w:lineRule="auto"/>
              <w:jc w:val="both"/>
              <w:rPr>
                <w:rFonts w:ascii="Times New Roman" w:hAnsi="Times New Roman"/>
                <w:u w:val="single"/>
              </w:rPr>
            </w:pPr>
            <w:r w:rsidRPr="00902015">
              <w:rPr>
                <w:rFonts w:ascii="Times New Roman" w:hAnsi="Times New Roman"/>
                <w:u w:val="single"/>
              </w:rPr>
              <w:t>Holandia:</w:t>
            </w:r>
          </w:p>
          <w:p w14:paraId="1A799319" w14:textId="77777777" w:rsidR="004C7C6C" w:rsidRDefault="004C7C6C" w:rsidP="004C7C6C">
            <w:pPr>
              <w:spacing w:after="120" w:line="240" w:lineRule="auto"/>
              <w:jc w:val="both"/>
              <w:rPr>
                <w:rFonts w:ascii="Times New Roman" w:hAnsi="Times New Roman"/>
              </w:rPr>
            </w:pPr>
            <w:r w:rsidRPr="00BE7FA3">
              <w:rPr>
                <w:rFonts w:ascii="Times New Roman" w:hAnsi="Times New Roman"/>
              </w:rPr>
              <w:t xml:space="preserve">Holenderskie przepisy od 2015 roku określają spółdzielnie i </w:t>
            </w:r>
            <w:r w:rsidRPr="00902015">
              <w:rPr>
                <w:rFonts w:ascii="Times New Roman" w:hAnsi="Times New Roman"/>
              </w:rPr>
              <w:t xml:space="preserve">stowarzyszenia </w:t>
            </w:r>
            <w:r w:rsidRPr="00BE7FA3">
              <w:rPr>
                <w:rFonts w:ascii="Times New Roman" w:hAnsi="Times New Roman"/>
              </w:rPr>
              <w:t>energetyczne jako główn</w:t>
            </w:r>
            <w:r>
              <w:rPr>
                <w:rFonts w:ascii="Times New Roman" w:hAnsi="Times New Roman"/>
              </w:rPr>
              <w:t>e formy</w:t>
            </w:r>
            <w:r w:rsidRPr="00BE7FA3">
              <w:rPr>
                <w:rFonts w:ascii="Times New Roman" w:hAnsi="Times New Roman"/>
              </w:rPr>
              <w:t xml:space="preserve"> zbiorowych działań energetycznych. </w:t>
            </w:r>
            <w:r>
              <w:rPr>
                <w:rFonts w:ascii="Times New Roman" w:hAnsi="Times New Roman"/>
              </w:rPr>
              <w:t>Spółdzielniom energetyczne</w:t>
            </w:r>
            <w:r w:rsidRPr="00BE7FA3">
              <w:rPr>
                <w:rFonts w:ascii="Times New Roman" w:hAnsi="Times New Roman"/>
              </w:rPr>
              <w:t xml:space="preserve"> </w:t>
            </w:r>
            <w:r>
              <w:rPr>
                <w:rFonts w:ascii="Times New Roman" w:hAnsi="Times New Roman"/>
              </w:rPr>
              <w:t>mają</w:t>
            </w:r>
            <w:r w:rsidRPr="00BE7FA3">
              <w:rPr>
                <w:rFonts w:ascii="Times New Roman" w:hAnsi="Times New Roman"/>
              </w:rPr>
              <w:t xml:space="preserve"> </w:t>
            </w:r>
            <w:r>
              <w:rPr>
                <w:rFonts w:ascii="Times New Roman" w:hAnsi="Times New Roman"/>
              </w:rPr>
              <w:t>przez ograniczony czas możliwość</w:t>
            </w:r>
            <w:r w:rsidRPr="00BE7FA3">
              <w:rPr>
                <w:rFonts w:ascii="Times New Roman" w:hAnsi="Times New Roman"/>
              </w:rPr>
              <w:t xml:space="preserve"> </w:t>
            </w:r>
            <w:r>
              <w:rPr>
                <w:rFonts w:ascii="Times New Roman" w:hAnsi="Times New Roman"/>
              </w:rPr>
              <w:t>uczestnictwa w</w:t>
            </w:r>
            <w:r w:rsidRPr="00BE7FA3">
              <w:rPr>
                <w:rFonts w:ascii="Times New Roman" w:hAnsi="Times New Roman"/>
              </w:rPr>
              <w:t xml:space="preserve"> </w:t>
            </w:r>
            <w:r>
              <w:rPr>
                <w:rFonts w:ascii="Times New Roman" w:hAnsi="Times New Roman"/>
              </w:rPr>
              <w:t>„</w:t>
            </w:r>
            <w:r w:rsidRPr="00BE7FA3">
              <w:rPr>
                <w:rFonts w:ascii="Times New Roman" w:hAnsi="Times New Roman"/>
              </w:rPr>
              <w:t>piaskownicy regulacyjnej</w:t>
            </w:r>
            <w:r>
              <w:rPr>
                <w:rFonts w:ascii="Times New Roman" w:hAnsi="Times New Roman"/>
              </w:rPr>
              <w:t>”</w:t>
            </w:r>
            <w:r w:rsidRPr="00BE7FA3">
              <w:rPr>
                <w:rFonts w:ascii="Times New Roman" w:hAnsi="Times New Roman"/>
              </w:rPr>
              <w:t xml:space="preserve">, </w:t>
            </w:r>
            <w:r>
              <w:rPr>
                <w:rFonts w:ascii="Times New Roman" w:hAnsi="Times New Roman"/>
              </w:rPr>
              <w:t>która pozwala na przetestowanie rozwiązań w zakresie</w:t>
            </w:r>
            <w:r w:rsidRPr="00BE7FA3">
              <w:rPr>
                <w:rFonts w:ascii="Times New Roman" w:hAnsi="Times New Roman"/>
              </w:rPr>
              <w:t xml:space="preserve"> </w:t>
            </w:r>
            <w:r>
              <w:rPr>
                <w:rFonts w:ascii="Times New Roman" w:hAnsi="Times New Roman"/>
              </w:rPr>
              <w:t>ułatwień związanych z dystrybucją</w:t>
            </w:r>
            <w:r w:rsidRPr="00BE7FA3">
              <w:rPr>
                <w:rFonts w:ascii="Times New Roman" w:hAnsi="Times New Roman"/>
              </w:rPr>
              <w:t xml:space="preserve">, taryfami, wytwarzaniem energii elektrycznej, wymaganiami dotyczącymi urządzeń pomiarowych, dostawami, inteligentnymi sieciami i zarządzaniem danymi. </w:t>
            </w:r>
          </w:p>
          <w:p w14:paraId="450CECF7" w14:textId="2AE48701" w:rsidR="004C7C6C" w:rsidRDefault="004C7C6C" w:rsidP="004C7C6C">
            <w:pPr>
              <w:spacing w:after="120" w:line="240" w:lineRule="auto"/>
              <w:jc w:val="both"/>
              <w:rPr>
                <w:rFonts w:ascii="Times New Roman" w:hAnsi="Times New Roman"/>
              </w:rPr>
            </w:pPr>
            <w:r w:rsidRPr="00BE7FA3">
              <w:rPr>
                <w:rFonts w:ascii="Times New Roman" w:hAnsi="Times New Roman"/>
              </w:rPr>
              <w:t xml:space="preserve">Model biznesowy spółdzielni energetycznych obejmuje wspólne inwestycje w projekty OZE, </w:t>
            </w:r>
            <w:r w:rsidRPr="004F5DBB">
              <w:rPr>
                <w:rFonts w:ascii="Times New Roman" w:hAnsi="Times New Roman"/>
              </w:rPr>
              <w:t>roczne</w:t>
            </w:r>
            <w:r>
              <w:rPr>
                <w:rFonts w:ascii="Times New Roman" w:hAnsi="Times New Roman"/>
              </w:rPr>
              <w:t xml:space="preserve"> bilansowanie z</w:t>
            </w:r>
            <w:r w:rsidR="004C0172">
              <w:rPr>
                <w:rFonts w:ascii="Times New Roman" w:hAnsi="Times New Roman"/>
              </w:rPr>
              <w:t xml:space="preserve"> </w:t>
            </w:r>
            <w:r w:rsidRPr="00BE7FA3">
              <w:rPr>
                <w:rFonts w:ascii="Times New Roman" w:hAnsi="Times New Roman"/>
              </w:rPr>
              <w:t>własne</w:t>
            </w:r>
            <w:r>
              <w:rPr>
                <w:rFonts w:ascii="Times New Roman" w:hAnsi="Times New Roman"/>
              </w:rPr>
              <w:t>j</w:t>
            </w:r>
            <w:r w:rsidRPr="00BE7FA3">
              <w:rPr>
                <w:rFonts w:ascii="Times New Roman" w:hAnsi="Times New Roman"/>
              </w:rPr>
              <w:t xml:space="preserve"> lokalnie wytwarzanej energii elektrycznej, agregację dostępnej mocy oferowanej na rynku energii (wymaga</w:t>
            </w:r>
            <w:r>
              <w:rPr>
                <w:rFonts w:ascii="Times New Roman" w:hAnsi="Times New Roman"/>
              </w:rPr>
              <w:t>ne</w:t>
            </w:r>
            <w:r w:rsidRPr="00BE7FA3">
              <w:rPr>
                <w:rFonts w:ascii="Times New Roman" w:hAnsi="Times New Roman"/>
              </w:rPr>
              <w:t xml:space="preserve"> 1 MW dla udział</w:t>
            </w:r>
            <w:r>
              <w:rPr>
                <w:rFonts w:ascii="Times New Roman" w:hAnsi="Times New Roman"/>
              </w:rPr>
              <w:t>u</w:t>
            </w:r>
            <w:r w:rsidRPr="00BE7FA3">
              <w:rPr>
                <w:rFonts w:ascii="Times New Roman" w:hAnsi="Times New Roman"/>
              </w:rPr>
              <w:t xml:space="preserve">) i </w:t>
            </w:r>
            <w:r>
              <w:rPr>
                <w:rFonts w:ascii="Times New Roman" w:hAnsi="Times New Roman"/>
              </w:rPr>
              <w:t xml:space="preserve">inne </w:t>
            </w:r>
            <w:r w:rsidRPr="00BE7FA3">
              <w:rPr>
                <w:rFonts w:ascii="Times New Roman" w:hAnsi="Times New Roman"/>
              </w:rPr>
              <w:t xml:space="preserve">potencjalne usługi energetyczne. Inicjatywa organizowania spółdzielni i stowarzyszeń energetycznych pochodzi głównie od obywateli lub gmin. </w:t>
            </w:r>
          </w:p>
          <w:p w14:paraId="1BEB9321" w14:textId="308F3903" w:rsidR="004C7C6C" w:rsidRPr="005A707A" w:rsidRDefault="004C7C6C" w:rsidP="005A707A">
            <w:pPr>
              <w:spacing w:line="240" w:lineRule="auto"/>
              <w:jc w:val="both"/>
              <w:rPr>
                <w:rFonts w:ascii="Times New Roman" w:hAnsi="Times New Roman"/>
                <w:u w:val="single"/>
              </w:rPr>
            </w:pPr>
            <w:r w:rsidRPr="005A707A">
              <w:rPr>
                <w:rFonts w:ascii="Times New Roman" w:hAnsi="Times New Roman"/>
                <w:u w:val="single"/>
              </w:rPr>
              <w:t>Włochy:</w:t>
            </w:r>
          </w:p>
          <w:p w14:paraId="377812D5" w14:textId="77777777" w:rsidR="004C7C6C" w:rsidRDefault="004C7C6C" w:rsidP="004C7C6C">
            <w:pPr>
              <w:spacing w:after="120" w:line="240" w:lineRule="auto"/>
              <w:jc w:val="both"/>
              <w:rPr>
                <w:rFonts w:ascii="Times New Roman" w:hAnsi="Times New Roman"/>
              </w:rPr>
            </w:pPr>
            <w:r>
              <w:rPr>
                <w:rFonts w:ascii="Times New Roman" w:hAnsi="Times New Roman"/>
              </w:rPr>
              <w:t xml:space="preserve">W 2020 roku (ustawa nr 8/2020) </w:t>
            </w:r>
            <w:r w:rsidRPr="004F5DBB">
              <w:rPr>
                <w:rFonts w:ascii="Times New Roman" w:hAnsi="Times New Roman"/>
              </w:rPr>
              <w:t xml:space="preserve">Włochy </w:t>
            </w:r>
            <w:r>
              <w:rPr>
                <w:rFonts w:ascii="Times New Roman" w:hAnsi="Times New Roman"/>
              </w:rPr>
              <w:t xml:space="preserve">wprowadziły </w:t>
            </w:r>
            <w:r w:rsidRPr="004F5DBB">
              <w:rPr>
                <w:rFonts w:ascii="Times New Roman" w:hAnsi="Times New Roman"/>
              </w:rPr>
              <w:t xml:space="preserve">tymczasowo dwa modele zbiorowych działań w zakresie energii </w:t>
            </w:r>
            <w:r>
              <w:rPr>
                <w:rFonts w:ascii="Times New Roman" w:hAnsi="Times New Roman"/>
              </w:rPr>
              <w:t xml:space="preserve">odnawialnej </w:t>
            </w:r>
            <w:r w:rsidRPr="004F5DBB">
              <w:rPr>
                <w:rFonts w:ascii="Times New Roman" w:hAnsi="Times New Roman"/>
              </w:rPr>
              <w:t xml:space="preserve">do czasu pełnego wdrożenia dyrektywy </w:t>
            </w:r>
            <w:r>
              <w:rPr>
                <w:rFonts w:ascii="Times New Roman" w:hAnsi="Times New Roman"/>
              </w:rPr>
              <w:t>RED II</w:t>
            </w:r>
            <w:r w:rsidRPr="004F5DBB">
              <w:rPr>
                <w:rFonts w:ascii="Times New Roman" w:hAnsi="Times New Roman"/>
              </w:rPr>
              <w:t xml:space="preserve">: </w:t>
            </w:r>
          </w:p>
          <w:p w14:paraId="147757EA" w14:textId="77777777" w:rsidR="004C7C6C" w:rsidRDefault="004C7C6C" w:rsidP="004C7C6C">
            <w:pPr>
              <w:pStyle w:val="Akapitzlist"/>
              <w:numPr>
                <w:ilvl w:val="0"/>
                <w:numId w:val="172"/>
              </w:numPr>
              <w:spacing w:after="120"/>
              <w:jc w:val="both"/>
              <w:rPr>
                <w:rFonts w:ascii="Times New Roman" w:hAnsi="Times New Roman"/>
              </w:rPr>
            </w:pPr>
            <w:r>
              <w:rPr>
                <w:rFonts w:ascii="Times New Roman" w:hAnsi="Times New Roman"/>
              </w:rPr>
              <w:t>prosumenta zbiorowego,</w:t>
            </w:r>
          </w:p>
          <w:p w14:paraId="41745A04" w14:textId="77777777" w:rsidR="004C7C6C" w:rsidRDefault="004C7C6C" w:rsidP="004C7C6C">
            <w:pPr>
              <w:pStyle w:val="Akapitzlist"/>
              <w:numPr>
                <w:ilvl w:val="0"/>
                <w:numId w:val="172"/>
              </w:numPr>
              <w:spacing w:after="120"/>
              <w:jc w:val="both"/>
              <w:rPr>
                <w:rFonts w:ascii="Times New Roman" w:hAnsi="Times New Roman"/>
              </w:rPr>
            </w:pPr>
            <w:r w:rsidRPr="004F5DBB">
              <w:rPr>
                <w:rFonts w:ascii="Times New Roman" w:hAnsi="Times New Roman"/>
              </w:rPr>
              <w:t>społecznoś</w:t>
            </w:r>
            <w:r>
              <w:rPr>
                <w:rFonts w:ascii="Times New Roman" w:hAnsi="Times New Roman"/>
              </w:rPr>
              <w:t>ć energii odnawialnej.</w:t>
            </w:r>
          </w:p>
          <w:p w14:paraId="27AE1329" w14:textId="77777777" w:rsidR="004C7C6C" w:rsidRDefault="004C7C6C" w:rsidP="004C7C6C">
            <w:pPr>
              <w:spacing w:after="120" w:line="240" w:lineRule="auto"/>
              <w:jc w:val="both"/>
              <w:rPr>
                <w:rFonts w:ascii="Times New Roman" w:hAnsi="Times New Roman"/>
              </w:rPr>
            </w:pPr>
            <w:r w:rsidRPr="004F5DBB">
              <w:rPr>
                <w:rFonts w:ascii="Times New Roman" w:hAnsi="Times New Roman"/>
              </w:rPr>
              <w:t xml:space="preserve">Model zbiorowych </w:t>
            </w:r>
            <w:r>
              <w:rPr>
                <w:rFonts w:ascii="Times New Roman" w:hAnsi="Times New Roman"/>
              </w:rPr>
              <w:t>pro</w:t>
            </w:r>
            <w:r w:rsidRPr="004F5DBB">
              <w:rPr>
                <w:rFonts w:ascii="Times New Roman" w:hAnsi="Times New Roman"/>
              </w:rPr>
              <w:t xml:space="preserve">sumentów koncentruje się na wspólnotach mieszkaniowych, tj. osobach fizycznych lub </w:t>
            </w:r>
            <w:r>
              <w:rPr>
                <w:rFonts w:ascii="Times New Roman" w:hAnsi="Times New Roman"/>
              </w:rPr>
              <w:t>przedsiębiorcach</w:t>
            </w:r>
            <w:r w:rsidRPr="004F5DBB">
              <w:rPr>
                <w:rFonts w:ascii="Times New Roman" w:hAnsi="Times New Roman"/>
              </w:rPr>
              <w:t xml:space="preserve">, </w:t>
            </w:r>
            <w:r>
              <w:rPr>
                <w:rFonts w:ascii="Times New Roman" w:hAnsi="Times New Roman"/>
              </w:rPr>
              <w:t>którzy</w:t>
            </w:r>
            <w:r w:rsidRPr="004F5DBB">
              <w:rPr>
                <w:rFonts w:ascii="Times New Roman" w:hAnsi="Times New Roman"/>
              </w:rPr>
              <w:t xml:space="preserve"> z</w:t>
            </w:r>
            <w:r>
              <w:rPr>
                <w:rFonts w:ascii="Times New Roman" w:hAnsi="Times New Roman"/>
              </w:rPr>
              <w:t>najdują się w tym samym budynku i</w:t>
            </w:r>
            <w:r w:rsidRPr="004F5DBB">
              <w:rPr>
                <w:rFonts w:ascii="Times New Roman" w:hAnsi="Times New Roman"/>
              </w:rPr>
              <w:t xml:space="preserve"> </w:t>
            </w:r>
            <w:r>
              <w:rPr>
                <w:rFonts w:ascii="Times New Roman" w:hAnsi="Times New Roman"/>
              </w:rPr>
              <w:t xml:space="preserve">dla </w:t>
            </w:r>
            <w:r w:rsidRPr="004F5DBB">
              <w:rPr>
                <w:rFonts w:ascii="Times New Roman" w:hAnsi="Times New Roman"/>
              </w:rPr>
              <w:t xml:space="preserve">których wytwarzanie i wymiana energii nie jest podstawową działalnością. Inicjatywa ma na celu włączenie </w:t>
            </w:r>
            <w:r>
              <w:rPr>
                <w:rFonts w:ascii="Times New Roman" w:hAnsi="Times New Roman"/>
              </w:rPr>
              <w:t xml:space="preserve">w transformację energetyczną </w:t>
            </w:r>
            <w:r w:rsidRPr="004F5DBB">
              <w:rPr>
                <w:rFonts w:ascii="Times New Roman" w:hAnsi="Times New Roman"/>
              </w:rPr>
              <w:t>mieszkańców o niskich dochodach i zagrożonych</w:t>
            </w:r>
            <w:r>
              <w:rPr>
                <w:rFonts w:ascii="Times New Roman" w:hAnsi="Times New Roman"/>
              </w:rPr>
              <w:t xml:space="preserve"> ubóstwem energetycznym</w:t>
            </w:r>
            <w:r w:rsidRPr="004F5DBB">
              <w:rPr>
                <w:rFonts w:ascii="Times New Roman" w:hAnsi="Times New Roman"/>
              </w:rPr>
              <w:t xml:space="preserve">. </w:t>
            </w:r>
          </w:p>
          <w:p w14:paraId="5C21DF37" w14:textId="77777777" w:rsidR="004C7C6C" w:rsidRDefault="004C7C6C" w:rsidP="004C7C6C">
            <w:pPr>
              <w:spacing w:after="120" w:line="240" w:lineRule="auto"/>
              <w:jc w:val="both"/>
              <w:rPr>
                <w:rFonts w:ascii="Times New Roman" w:hAnsi="Times New Roman"/>
              </w:rPr>
            </w:pPr>
            <w:r w:rsidRPr="004F5DBB">
              <w:rPr>
                <w:rFonts w:ascii="Times New Roman" w:hAnsi="Times New Roman"/>
              </w:rPr>
              <w:t xml:space="preserve">Społeczności związane z energią odnawialną obejmują osoby fizyczne, małe i średnie przedsiębiorstwa, władze lokalne/regionalne </w:t>
            </w:r>
            <w:r>
              <w:rPr>
                <w:rFonts w:ascii="Times New Roman" w:hAnsi="Times New Roman"/>
              </w:rPr>
              <w:t>oraz</w:t>
            </w:r>
            <w:r w:rsidRPr="004F5DBB">
              <w:rPr>
                <w:rFonts w:ascii="Times New Roman" w:hAnsi="Times New Roman"/>
              </w:rPr>
              <w:t xml:space="preserve"> </w:t>
            </w:r>
            <w:r>
              <w:rPr>
                <w:rFonts w:ascii="Times New Roman" w:hAnsi="Times New Roman"/>
              </w:rPr>
              <w:t>przedsiębiorców</w:t>
            </w:r>
            <w:r w:rsidRPr="004F5DBB">
              <w:rPr>
                <w:rFonts w:ascii="Times New Roman" w:hAnsi="Times New Roman"/>
              </w:rPr>
              <w:t xml:space="preserve">. </w:t>
            </w:r>
            <w:r>
              <w:rPr>
                <w:rFonts w:ascii="Times New Roman" w:hAnsi="Times New Roman"/>
              </w:rPr>
              <w:t>Źródła wytwórcze (do 200 kW)</w:t>
            </w:r>
            <w:r w:rsidRPr="004F5DBB">
              <w:rPr>
                <w:rFonts w:ascii="Times New Roman" w:hAnsi="Times New Roman"/>
              </w:rPr>
              <w:t xml:space="preserve"> </w:t>
            </w:r>
            <w:r w:rsidRPr="008B34B2">
              <w:rPr>
                <w:rFonts w:ascii="Times New Roman" w:hAnsi="Times New Roman"/>
              </w:rPr>
              <w:t xml:space="preserve">muszą być zlokalizowane w sieci niskiego lub średniego napięcia </w:t>
            </w:r>
            <w:r>
              <w:rPr>
                <w:rFonts w:ascii="Times New Roman" w:hAnsi="Times New Roman"/>
              </w:rPr>
              <w:t>w obrębie tej</w:t>
            </w:r>
            <w:r w:rsidRPr="008B34B2">
              <w:rPr>
                <w:rFonts w:ascii="Times New Roman" w:hAnsi="Times New Roman"/>
              </w:rPr>
              <w:t xml:space="preserve"> </w:t>
            </w:r>
            <w:r>
              <w:rPr>
                <w:rFonts w:ascii="Times New Roman" w:hAnsi="Times New Roman"/>
              </w:rPr>
              <w:t>samej stacji transformatorowej</w:t>
            </w:r>
            <w:r w:rsidRPr="004F5DBB">
              <w:rPr>
                <w:rFonts w:ascii="Times New Roman" w:hAnsi="Times New Roman"/>
              </w:rPr>
              <w:t xml:space="preserve">. </w:t>
            </w:r>
            <w:r>
              <w:rPr>
                <w:rFonts w:ascii="Times New Roman" w:hAnsi="Times New Roman"/>
              </w:rPr>
              <w:t>G</w:t>
            </w:r>
            <w:r w:rsidRPr="004F5DBB">
              <w:rPr>
                <w:rFonts w:ascii="Times New Roman" w:hAnsi="Times New Roman"/>
              </w:rPr>
              <w:t xml:space="preserve">łównym celem społeczności zajmującej się energią odnawialną jest zapewnienie swoim członkom/obszarowi lokalnemu korzyści środowiskowych, ekonomicznych lub społecznych, a nie jakichkolwiek zysków finansowych. Społeczność taka może prowadzić działalność agregacyjną i działać jako dostawca usług bilansujących. Modele te oferują swoim konsumentom usługi oparte na monitorowaniu i zarządzaniu energią. </w:t>
            </w:r>
          </w:p>
          <w:p w14:paraId="1A7D1A39" w14:textId="77777777" w:rsidR="004C7C6C" w:rsidRPr="000D430C" w:rsidRDefault="004C7C6C" w:rsidP="005A707A">
            <w:pPr>
              <w:spacing w:line="240" w:lineRule="auto"/>
              <w:jc w:val="both"/>
              <w:rPr>
                <w:rFonts w:ascii="Times New Roman" w:hAnsi="Times New Roman"/>
                <w:u w:val="single"/>
              </w:rPr>
            </w:pPr>
            <w:r w:rsidRPr="000D430C">
              <w:rPr>
                <w:rFonts w:ascii="Times New Roman" w:hAnsi="Times New Roman"/>
                <w:u w:val="single"/>
              </w:rPr>
              <w:t>Irlandia:</w:t>
            </w:r>
          </w:p>
          <w:p w14:paraId="4C63BCFF" w14:textId="77777777" w:rsidR="004C7C6C" w:rsidRPr="0044645C" w:rsidRDefault="004C7C6C" w:rsidP="004C7C6C">
            <w:pPr>
              <w:spacing w:after="120" w:line="240" w:lineRule="auto"/>
              <w:jc w:val="both"/>
              <w:rPr>
                <w:rFonts w:ascii="Times New Roman" w:hAnsi="Times New Roman"/>
              </w:rPr>
            </w:pPr>
            <w:r w:rsidRPr="0044645C">
              <w:rPr>
                <w:rFonts w:ascii="Times New Roman" w:hAnsi="Times New Roman"/>
              </w:rPr>
              <w:t>Większość społecznych inicjatyw energetycznych w Irlandii zapewnia mieszkańcom i społecznościom usługi w zakresie efektywności energetycznej lub oszczędności</w:t>
            </w:r>
            <w:r>
              <w:rPr>
                <w:rFonts w:ascii="Times New Roman" w:hAnsi="Times New Roman"/>
              </w:rPr>
              <w:t xml:space="preserve"> energii</w:t>
            </w:r>
            <w:r w:rsidRPr="0044645C">
              <w:rPr>
                <w:rFonts w:ascii="Times New Roman" w:hAnsi="Times New Roman"/>
              </w:rPr>
              <w:t xml:space="preserve">. Łącznie doprowadziło to do powstania 310 społeczności w całej Irlandii. </w:t>
            </w:r>
            <w:r>
              <w:rPr>
                <w:rFonts w:ascii="Times New Roman" w:hAnsi="Times New Roman"/>
              </w:rPr>
              <w:t>Ramy</w:t>
            </w:r>
            <w:r w:rsidRPr="0044645C">
              <w:rPr>
                <w:rFonts w:ascii="Times New Roman" w:hAnsi="Times New Roman"/>
              </w:rPr>
              <w:t xml:space="preserve"> wspierając</w:t>
            </w:r>
            <w:r>
              <w:rPr>
                <w:rFonts w:ascii="Times New Roman" w:hAnsi="Times New Roman"/>
              </w:rPr>
              <w:t>e dla tych inicjatyw opracował</w:t>
            </w:r>
            <w:r w:rsidRPr="0044645C">
              <w:rPr>
                <w:rFonts w:ascii="Times New Roman" w:hAnsi="Times New Roman"/>
              </w:rPr>
              <w:t xml:space="preserve"> Irlandzki Urząd ds. Zrównoważonej Energii (SEAI).</w:t>
            </w:r>
          </w:p>
          <w:p w14:paraId="295656A2" w14:textId="7C54E7E1" w:rsidR="004C7C6C" w:rsidRDefault="004C7C6C" w:rsidP="004C7C6C">
            <w:pPr>
              <w:spacing w:after="120" w:line="240" w:lineRule="auto"/>
              <w:jc w:val="both"/>
              <w:rPr>
                <w:rFonts w:ascii="Times New Roman" w:hAnsi="Times New Roman"/>
              </w:rPr>
            </w:pPr>
            <w:r>
              <w:rPr>
                <w:rFonts w:ascii="Times New Roman" w:hAnsi="Times New Roman"/>
              </w:rPr>
              <w:t>SEAI zarządza</w:t>
            </w:r>
            <w:r w:rsidRPr="0044645C">
              <w:rPr>
                <w:rFonts w:ascii="Times New Roman" w:hAnsi="Times New Roman"/>
              </w:rPr>
              <w:t xml:space="preserve"> Program</w:t>
            </w:r>
            <w:r>
              <w:rPr>
                <w:rFonts w:ascii="Times New Roman" w:hAnsi="Times New Roman"/>
              </w:rPr>
              <w:t>em</w:t>
            </w:r>
            <w:r w:rsidRPr="0044645C">
              <w:rPr>
                <w:rFonts w:ascii="Times New Roman" w:hAnsi="Times New Roman"/>
              </w:rPr>
              <w:t xml:space="preserve"> Wspólnoty Zrównoważonej Energii (SEC)</w:t>
            </w:r>
            <w:r>
              <w:rPr>
                <w:rFonts w:ascii="Times New Roman" w:hAnsi="Times New Roman"/>
              </w:rPr>
              <w:t xml:space="preserve">, który </w:t>
            </w:r>
            <w:r w:rsidRPr="0044645C">
              <w:rPr>
                <w:rFonts w:ascii="Times New Roman" w:hAnsi="Times New Roman"/>
              </w:rPr>
              <w:t xml:space="preserve">opiera się na </w:t>
            </w:r>
            <w:r>
              <w:rPr>
                <w:rFonts w:ascii="Times New Roman" w:hAnsi="Times New Roman"/>
              </w:rPr>
              <w:t>„</w:t>
            </w:r>
            <w:r w:rsidRPr="0044645C">
              <w:rPr>
                <w:rFonts w:ascii="Times New Roman" w:hAnsi="Times New Roman"/>
              </w:rPr>
              <w:t>białej księdze energetycznej</w:t>
            </w:r>
            <w:r>
              <w:rPr>
                <w:rFonts w:ascii="Times New Roman" w:hAnsi="Times New Roman"/>
              </w:rPr>
              <w:t>”</w:t>
            </w:r>
            <w:r w:rsidR="00581F6F">
              <w:rPr>
                <w:rFonts w:ascii="Times New Roman" w:hAnsi="Times New Roman"/>
              </w:rPr>
              <w:t xml:space="preserve"> </w:t>
            </w:r>
            <w:r>
              <w:rPr>
                <w:rFonts w:ascii="Times New Roman" w:hAnsi="Times New Roman"/>
              </w:rPr>
              <w:t xml:space="preserve">(Energy </w:t>
            </w:r>
            <w:proofErr w:type="spellStart"/>
            <w:r>
              <w:rPr>
                <w:rFonts w:ascii="Times New Roman" w:hAnsi="Times New Roman"/>
              </w:rPr>
              <w:t>white</w:t>
            </w:r>
            <w:proofErr w:type="spellEnd"/>
            <w:r>
              <w:rPr>
                <w:rFonts w:ascii="Times New Roman" w:hAnsi="Times New Roman"/>
              </w:rPr>
              <w:t xml:space="preserve"> </w:t>
            </w:r>
            <w:proofErr w:type="spellStart"/>
            <w:r>
              <w:rPr>
                <w:rFonts w:ascii="Times New Roman" w:hAnsi="Times New Roman"/>
              </w:rPr>
              <w:t>paper</w:t>
            </w:r>
            <w:proofErr w:type="spellEnd"/>
            <w:r>
              <w:rPr>
                <w:rFonts w:ascii="Times New Roman" w:hAnsi="Times New Roman"/>
              </w:rPr>
              <w:t>). O</w:t>
            </w:r>
            <w:r w:rsidRPr="0044645C">
              <w:rPr>
                <w:rFonts w:ascii="Times New Roman" w:hAnsi="Times New Roman"/>
              </w:rPr>
              <w:t xml:space="preserve">kreśla </w:t>
            </w:r>
            <w:r>
              <w:rPr>
                <w:rFonts w:ascii="Times New Roman" w:hAnsi="Times New Roman"/>
              </w:rPr>
              <w:t xml:space="preserve">ona </w:t>
            </w:r>
            <w:r w:rsidRPr="0044645C">
              <w:rPr>
                <w:rFonts w:ascii="Times New Roman" w:hAnsi="Times New Roman"/>
              </w:rPr>
              <w:t xml:space="preserve">działania rządowe </w:t>
            </w:r>
            <w:r>
              <w:rPr>
                <w:rFonts w:ascii="Times New Roman" w:hAnsi="Times New Roman"/>
              </w:rPr>
              <w:t>dla zwiększenia</w:t>
            </w:r>
            <w:r w:rsidRPr="0044645C">
              <w:rPr>
                <w:rFonts w:ascii="Times New Roman" w:hAnsi="Times New Roman"/>
              </w:rPr>
              <w:t xml:space="preserve"> zaangażowani</w:t>
            </w:r>
            <w:r>
              <w:rPr>
                <w:rFonts w:ascii="Times New Roman" w:hAnsi="Times New Roman"/>
              </w:rPr>
              <w:t>a i umożliwienia</w:t>
            </w:r>
            <w:r w:rsidRPr="0044645C">
              <w:rPr>
                <w:rFonts w:ascii="Times New Roman" w:hAnsi="Times New Roman"/>
              </w:rPr>
              <w:t xml:space="preserve"> obywatelom i </w:t>
            </w:r>
            <w:r w:rsidRPr="0044645C">
              <w:rPr>
                <w:rFonts w:ascii="Times New Roman" w:hAnsi="Times New Roman"/>
              </w:rPr>
              <w:lastRenderedPageBreak/>
              <w:t>społecznościom realizacji projektów energetycznych.</w:t>
            </w:r>
            <w:r>
              <w:rPr>
                <w:rFonts w:ascii="Times New Roman" w:hAnsi="Times New Roman"/>
              </w:rPr>
              <w:t xml:space="preserve"> </w:t>
            </w:r>
            <w:r w:rsidRPr="0044645C">
              <w:rPr>
                <w:rFonts w:ascii="Times New Roman" w:hAnsi="Times New Roman"/>
              </w:rPr>
              <w:t xml:space="preserve">W tym celu program SEC zapewnia społecznościom wsparcie techniczne (rozwijanie umiejętności i wiedzy w zakresie zarządzania energią) i finansowe. </w:t>
            </w:r>
          </w:p>
          <w:p w14:paraId="70465014" w14:textId="77777777" w:rsidR="004C7C6C" w:rsidRDefault="004C7C6C" w:rsidP="004C7C6C">
            <w:pPr>
              <w:spacing w:after="120" w:line="240" w:lineRule="auto"/>
              <w:jc w:val="both"/>
              <w:rPr>
                <w:rFonts w:ascii="Times New Roman" w:hAnsi="Times New Roman"/>
              </w:rPr>
            </w:pPr>
            <w:r w:rsidRPr="0044645C">
              <w:rPr>
                <w:rFonts w:ascii="Times New Roman" w:hAnsi="Times New Roman"/>
              </w:rPr>
              <w:t xml:space="preserve">SEC </w:t>
            </w:r>
            <w:r w:rsidRPr="000D430C">
              <w:rPr>
                <w:rFonts w:ascii="Times New Roman" w:hAnsi="Times New Roman"/>
              </w:rPr>
              <w:t>to partnerstwo między sektor</w:t>
            </w:r>
            <w:r>
              <w:rPr>
                <w:rFonts w:ascii="Times New Roman" w:hAnsi="Times New Roman"/>
              </w:rPr>
              <w:t>em</w:t>
            </w:r>
            <w:r w:rsidRPr="000D430C">
              <w:rPr>
                <w:rFonts w:ascii="Times New Roman" w:hAnsi="Times New Roman"/>
              </w:rPr>
              <w:t xml:space="preserve"> publicznym, prywatnym i </w:t>
            </w:r>
            <w:r>
              <w:rPr>
                <w:rFonts w:ascii="Times New Roman" w:hAnsi="Times New Roman"/>
              </w:rPr>
              <w:t>samorządowym</w:t>
            </w:r>
            <w:r w:rsidRPr="009F4DBD">
              <w:rPr>
                <w:rFonts w:ascii="Times New Roman" w:hAnsi="Times New Roman"/>
              </w:rPr>
              <w:t xml:space="preserve"> dla </w:t>
            </w:r>
            <w:r>
              <w:rPr>
                <w:rFonts w:ascii="Times New Roman" w:hAnsi="Times New Roman"/>
              </w:rPr>
              <w:t>zwiększenia</w:t>
            </w:r>
            <w:r w:rsidRPr="009F4DBD">
              <w:rPr>
                <w:rFonts w:ascii="Times New Roman" w:hAnsi="Times New Roman"/>
              </w:rPr>
              <w:t xml:space="preserve"> energooszczędno</w:t>
            </w:r>
            <w:r>
              <w:rPr>
                <w:rFonts w:ascii="Times New Roman" w:hAnsi="Times New Roman"/>
              </w:rPr>
              <w:t>ści oraz wykorzystania</w:t>
            </w:r>
            <w:r w:rsidRPr="000D430C">
              <w:rPr>
                <w:rFonts w:ascii="Times New Roman" w:hAnsi="Times New Roman"/>
              </w:rPr>
              <w:t xml:space="preserve"> energii odnawialnej i inteligentnych rozwiązań energetycznych</w:t>
            </w:r>
            <w:r w:rsidRPr="0044645C">
              <w:rPr>
                <w:rFonts w:ascii="Times New Roman" w:hAnsi="Times New Roman"/>
              </w:rPr>
              <w:t>. Poza odniesieniem się do pewnych wspólnych cech społeczności energetycznych</w:t>
            </w:r>
            <w:r>
              <w:rPr>
                <w:rFonts w:ascii="Times New Roman" w:hAnsi="Times New Roman"/>
              </w:rPr>
              <w:t xml:space="preserve"> (m.in. zdefiniowany obszar, równowaga między projektami dotyczącymi wytwarzania i oszczędności energii</w:t>
            </w:r>
            <w:r w:rsidRPr="0044645C">
              <w:rPr>
                <w:rFonts w:ascii="Times New Roman" w:hAnsi="Times New Roman"/>
              </w:rPr>
              <w:t>,</w:t>
            </w:r>
            <w:r>
              <w:rPr>
                <w:rFonts w:ascii="Times New Roman" w:hAnsi="Times New Roman"/>
              </w:rPr>
              <w:t xml:space="preserve"> jasna struktura organizacyjna)</w:t>
            </w:r>
            <w:r w:rsidRPr="0044645C">
              <w:rPr>
                <w:rFonts w:ascii="Times New Roman" w:hAnsi="Times New Roman"/>
              </w:rPr>
              <w:t xml:space="preserve"> </w:t>
            </w:r>
            <w:r>
              <w:rPr>
                <w:rFonts w:ascii="Times New Roman" w:hAnsi="Times New Roman"/>
              </w:rPr>
              <w:t>definicja</w:t>
            </w:r>
            <w:r w:rsidRPr="0044645C">
              <w:rPr>
                <w:rFonts w:ascii="Times New Roman" w:hAnsi="Times New Roman"/>
              </w:rPr>
              <w:t xml:space="preserve"> nie ogranicza koncepcji do żadnej formy organizacyjnej, </w:t>
            </w:r>
            <w:r>
              <w:rPr>
                <w:rFonts w:ascii="Times New Roman" w:hAnsi="Times New Roman"/>
              </w:rPr>
              <w:t xml:space="preserve">nie narzuca </w:t>
            </w:r>
            <w:r w:rsidRPr="0044645C">
              <w:rPr>
                <w:rFonts w:ascii="Times New Roman" w:hAnsi="Times New Roman"/>
              </w:rPr>
              <w:t xml:space="preserve">wymogów geograficznych ani kryteriów zarządzania i uczestnictwa. </w:t>
            </w:r>
          </w:p>
          <w:p w14:paraId="3539321F" w14:textId="547AF731" w:rsidR="004C7C6C" w:rsidRDefault="004C7C6C" w:rsidP="004B458B">
            <w:pPr>
              <w:spacing w:after="120" w:line="240" w:lineRule="auto"/>
              <w:jc w:val="both"/>
              <w:rPr>
                <w:rFonts w:ascii="Times New Roman" w:hAnsi="Times New Roman"/>
                <w:bCs/>
              </w:rPr>
            </w:pPr>
            <w:r w:rsidRPr="0044645C">
              <w:rPr>
                <w:rFonts w:ascii="Times New Roman" w:hAnsi="Times New Roman"/>
              </w:rPr>
              <w:t>W 2019 r. SEAI wspiera</w:t>
            </w:r>
            <w:r>
              <w:rPr>
                <w:rFonts w:ascii="Times New Roman" w:hAnsi="Times New Roman"/>
              </w:rPr>
              <w:t>ło</w:t>
            </w:r>
            <w:r w:rsidRPr="0044645C">
              <w:rPr>
                <w:rFonts w:ascii="Times New Roman" w:hAnsi="Times New Roman"/>
              </w:rPr>
              <w:t xml:space="preserve"> 57 projektów, na które zainwestowano 25,3 mln EUR. Projekty są oceniane na podstawie ich cech (</w:t>
            </w:r>
            <w:r>
              <w:rPr>
                <w:rFonts w:ascii="Times New Roman" w:hAnsi="Times New Roman"/>
              </w:rPr>
              <w:t>możliwość</w:t>
            </w:r>
            <w:r w:rsidRPr="0044645C">
              <w:rPr>
                <w:rFonts w:ascii="Times New Roman" w:hAnsi="Times New Roman"/>
              </w:rPr>
              <w:t xml:space="preserve"> realizacji, </w:t>
            </w:r>
            <w:r>
              <w:rPr>
                <w:rFonts w:ascii="Times New Roman" w:hAnsi="Times New Roman"/>
              </w:rPr>
              <w:t>innowacyjność</w:t>
            </w:r>
            <w:r w:rsidRPr="0044645C">
              <w:rPr>
                <w:rFonts w:ascii="Times New Roman" w:hAnsi="Times New Roman"/>
              </w:rPr>
              <w:t>, różnorodność rozwiązań), z których najbardziej decydującym jest stopień, w jakim projek</w:t>
            </w:r>
            <w:r>
              <w:rPr>
                <w:rFonts w:ascii="Times New Roman" w:hAnsi="Times New Roman"/>
              </w:rPr>
              <w:t xml:space="preserve">t przynosi korzyści społeczne. </w:t>
            </w:r>
            <w:r w:rsidRPr="0044645C">
              <w:rPr>
                <w:rFonts w:ascii="Times New Roman" w:hAnsi="Times New Roman"/>
              </w:rPr>
              <w:t xml:space="preserve">Oprócz mechanizmu dotacji SEAI, SEC może również ubiegać się o </w:t>
            </w:r>
            <w:r>
              <w:rPr>
                <w:rFonts w:ascii="Times New Roman" w:hAnsi="Times New Roman"/>
              </w:rPr>
              <w:t xml:space="preserve">wsparcie w </w:t>
            </w:r>
            <w:r w:rsidRPr="0044645C">
              <w:rPr>
                <w:rFonts w:ascii="Times New Roman" w:hAnsi="Times New Roman"/>
              </w:rPr>
              <w:t>program</w:t>
            </w:r>
            <w:r>
              <w:rPr>
                <w:rFonts w:ascii="Times New Roman" w:hAnsi="Times New Roman"/>
              </w:rPr>
              <w:t>ie</w:t>
            </w:r>
            <w:r w:rsidRPr="0044645C">
              <w:rPr>
                <w:rFonts w:ascii="Times New Roman" w:hAnsi="Times New Roman"/>
              </w:rPr>
              <w:t xml:space="preserve"> </w:t>
            </w:r>
            <w:proofErr w:type="spellStart"/>
            <w:r w:rsidRPr="0044645C">
              <w:rPr>
                <w:rFonts w:ascii="Times New Roman" w:hAnsi="Times New Roman"/>
              </w:rPr>
              <w:t>Better</w:t>
            </w:r>
            <w:proofErr w:type="spellEnd"/>
            <w:r w:rsidRPr="0044645C">
              <w:rPr>
                <w:rFonts w:ascii="Times New Roman" w:hAnsi="Times New Roman"/>
              </w:rPr>
              <w:t xml:space="preserve"> Energy </w:t>
            </w:r>
            <w:proofErr w:type="spellStart"/>
            <w:r w:rsidRPr="0044645C">
              <w:rPr>
                <w:rFonts w:ascii="Times New Roman" w:hAnsi="Times New Roman"/>
              </w:rPr>
              <w:t>Communities</w:t>
            </w:r>
            <w:proofErr w:type="spellEnd"/>
            <w:r w:rsidRPr="0044645C">
              <w:rPr>
                <w:rFonts w:ascii="Times New Roman" w:hAnsi="Times New Roman"/>
              </w:rPr>
              <w:t xml:space="preserve"> (BEC) – konkurencyjny</w:t>
            </w:r>
            <w:r>
              <w:rPr>
                <w:rFonts w:ascii="Times New Roman" w:hAnsi="Times New Roman"/>
              </w:rPr>
              <w:t>m</w:t>
            </w:r>
            <w:r w:rsidRPr="0044645C">
              <w:rPr>
                <w:rFonts w:ascii="Times New Roman" w:hAnsi="Times New Roman"/>
              </w:rPr>
              <w:t xml:space="preserve"> krajowy</w:t>
            </w:r>
            <w:r>
              <w:rPr>
                <w:rFonts w:ascii="Times New Roman" w:hAnsi="Times New Roman"/>
              </w:rPr>
              <w:t>m</w:t>
            </w:r>
            <w:r w:rsidRPr="0044645C">
              <w:rPr>
                <w:rFonts w:ascii="Times New Roman" w:hAnsi="Times New Roman"/>
              </w:rPr>
              <w:t xml:space="preserve"> program</w:t>
            </w:r>
            <w:r>
              <w:rPr>
                <w:rFonts w:ascii="Times New Roman" w:hAnsi="Times New Roman"/>
              </w:rPr>
              <w:t>ie</w:t>
            </w:r>
            <w:r w:rsidRPr="0044645C">
              <w:rPr>
                <w:rFonts w:ascii="Times New Roman" w:hAnsi="Times New Roman"/>
              </w:rPr>
              <w:t xml:space="preserve"> dotacji kapitałowych mający</w:t>
            </w:r>
            <w:r>
              <w:rPr>
                <w:rFonts w:ascii="Times New Roman" w:hAnsi="Times New Roman"/>
              </w:rPr>
              <w:t>m</w:t>
            </w:r>
            <w:r w:rsidRPr="0044645C">
              <w:rPr>
                <w:rFonts w:ascii="Times New Roman" w:hAnsi="Times New Roman"/>
              </w:rPr>
              <w:t xml:space="preserve"> na celu podniesienie standardów efektywności energetycznej</w:t>
            </w:r>
            <w:r>
              <w:rPr>
                <w:rFonts w:ascii="Times New Roman" w:hAnsi="Times New Roman"/>
              </w:rPr>
              <w:t>.</w:t>
            </w:r>
          </w:p>
          <w:p w14:paraId="4513CE8C" w14:textId="2CF43EC7" w:rsidR="00ED3780" w:rsidRPr="000435E7" w:rsidRDefault="002D3E37" w:rsidP="00ED3780">
            <w:pPr>
              <w:spacing w:line="240" w:lineRule="auto"/>
              <w:jc w:val="both"/>
              <w:rPr>
                <w:rFonts w:ascii="Times New Roman" w:hAnsi="Times New Roman"/>
                <w:b/>
                <w:u w:val="single"/>
              </w:rPr>
            </w:pPr>
            <w:r>
              <w:rPr>
                <w:rFonts w:ascii="Times New Roman" w:hAnsi="Times New Roman"/>
                <w:b/>
                <w:u w:val="single"/>
              </w:rPr>
              <w:t xml:space="preserve">III.1. </w:t>
            </w:r>
            <w:r w:rsidR="00ED3780" w:rsidRPr="000435E7">
              <w:rPr>
                <w:rFonts w:ascii="Times New Roman" w:hAnsi="Times New Roman"/>
                <w:b/>
                <w:u w:val="single"/>
              </w:rPr>
              <w:t>Zwiększenie roli OZE w ciepłownictwie i chłodnictwie</w:t>
            </w:r>
          </w:p>
          <w:p w14:paraId="23E7B50A" w14:textId="7F5A2539" w:rsidR="00ED3780" w:rsidRPr="00BB60A9" w:rsidRDefault="00ED3780" w:rsidP="004B458B">
            <w:pPr>
              <w:spacing w:after="120" w:line="240" w:lineRule="auto"/>
              <w:jc w:val="both"/>
              <w:rPr>
                <w:rFonts w:ascii="Times New Roman" w:hAnsi="Times New Roman"/>
              </w:rPr>
            </w:pPr>
            <w:r w:rsidRPr="00BB60A9">
              <w:rPr>
                <w:rFonts w:ascii="Times New Roman" w:hAnsi="Times New Roman"/>
              </w:rPr>
              <w:t>Kwestie dotyczące kształtowania polityki w obszarze OZE, w tym sposobu</w:t>
            </w:r>
            <w:r>
              <w:rPr>
                <w:rFonts w:ascii="Times New Roman" w:hAnsi="Times New Roman"/>
              </w:rPr>
              <w:t xml:space="preserve"> </w:t>
            </w:r>
            <w:r w:rsidRPr="00BB60A9">
              <w:rPr>
                <w:rFonts w:ascii="Times New Roman" w:hAnsi="Times New Roman"/>
              </w:rPr>
              <w:t xml:space="preserve">realizacji celu w zakresie udziału energii z OZE w sektorze ogrzewania i chłodzenia, a także zapewnienia bezpieczeństwa energetycznego leżą we właściwości poszczególnych państw członkowskich OECD i UE. Obowiązująca do 30 czerwca 2021 r., dyrektywa 2009/28 nie </w:t>
            </w:r>
            <w:r w:rsidR="0079284A" w:rsidRPr="00BB60A9">
              <w:rPr>
                <w:rFonts w:ascii="Times New Roman" w:hAnsi="Times New Roman"/>
              </w:rPr>
              <w:t>przewid</w:t>
            </w:r>
            <w:r w:rsidR="0079284A">
              <w:rPr>
                <w:rFonts w:ascii="Times New Roman" w:hAnsi="Times New Roman"/>
              </w:rPr>
              <w:t>ywała</w:t>
            </w:r>
            <w:r w:rsidR="0079284A" w:rsidRPr="00BB60A9">
              <w:rPr>
                <w:rFonts w:ascii="Times New Roman" w:hAnsi="Times New Roman"/>
              </w:rPr>
              <w:t xml:space="preserve"> </w:t>
            </w:r>
            <w:r w:rsidRPr="00BB60A9">
              <w:rPr>
                <w:rFonts w:ascii="Times New Roman" w:hAnsi="Times New Roman"/>
              </w:rPr>
              <w:t xml:space="preserve">wiążących celów w tym zakresie dla państw członkowskich UE, jak również nie </w:t>
            </w:r>
            <w:r w:rsidR="0079284A" w:rsidRPr="00BB60A9">
              <w:rPr>
                <w:rFonts w:ascii="Times New Roman" w:hAnsi="Times New Roman"/>
              </w:rPr>
              <w:t>przewid</w:t>
            </w:r>
            <w:r w:rsidR="0079284A">
              <w:rPr>
                <w:rFonts w:ascii="Times New Roman" w:hAnsi="Times New Roman"/>
              </w:rPr>
              <w:t>ywała</w:t>
            </w:r>
            <w:r w:rsidR="0079284A" w:rsidRPr="00BB60A9">
              <w:rPr>
                <w:rFonts w:ascii="Times New Roman" w:hAnsi="Times New Roman"/>
              </w:rPr>
              <w:t xml:space="preserve"> </w:t>
            </w:r>
            <w:r w:rsidRPr="00BB60A9">
              <w:rPr>
                <w:rFonts w:ascii="Times New Roman" w:hAnsi="Times New Roman"/>
              </w:rPr>
              <w:t xml:space="preserve">szeregu innych rozwiązań, określonych w art. 19, 23 i 24 dyrektywy 2018/2001 dotyczących sektora ogrzewania. </w:t>
            </w:r>
            <w:r w:rsidR="0079284A">
              <w:rPr>
                <w:rFonts w:ascii="Times New Roman" w:hAnsi="Times New Roman"/>
              </w:rPr>
              <w:t xml:space="preserve">Biorąc pod uwagę, że termin wdrożenia </w:t>
            </w:r>
            <w:r w:rsidRPr="00BB60A9">
              <w:rPr>
                <w:rFonts w:ascii="Times New Roman" w:hAnsi="Times New Roman"/>
              </w:rPr>
              <w:t>nowych rozwiązań to 1 lipca 2021 r.</w:t>
            </w:r>
            <w:r w:rsidR="0079284A">
              <w:rPr>
                <w:rFonts w:ascii="Times New Roman" w:hAnsi="Times New Roman"/>
              </w:rPr>
              <w:t>, również w innych krajach trwa obecnie opracowywanie rozwiązań wdrażających, brak zatem obowiązujących rozwiązań z innych krajów, które można</w:t>
            </w:r>
            <w:r w:rsidR="00933704">
              <w:rPr>
                <w:rFonts w:ascii="Times New Roman" w:hAnsi="Times New Roman"/>
              </w:rPr>
              <w:t xml:space="preserve"> </w:t>
            </w:r>
            <w:r w:rsidR="0079284A">
              <w:rPr>
                <w:rFonts w:ascii="Times New Roman" w:hAnsi="Times New Roman"/>
              </w:rPr>
              <w:t xml:space="preserve">poddać analizie. </w:t>
            </w:r>
            <w:r w:rsidRPr="00BB60A9">
              <w:rPr>
                <w:rFonts w:ascii="Times New Roman" w:hAnsi="Times New Roman"/>
              </w:rPr>
              <w:t>W związku z powyższym, nie ma możliwości zweryfikowania oraz porównania sposobu implementacji nowych przepisów z rozwiązaniami przyjętymi w innych państwach członkowskich. Dodatkowo, należy podkreślić, że duża różnorodność stosowanych w państwach członkowskich rozwiązań w zakresie dostarczania ciepła do odbiorców końcowych powoduje, iż ich szczegółowe wskazywanie oraz porównanie w niniejszym dokumencie nie wydaje się zasadne i w związku z tym nie jest rekomendowane.</w:t>
            </w:r>
          </w:p>
          <w:p w14:paraId="3BFA81CF" w14:textId="0708D95F" w:rsidR="00ED3780" w:rsidRDefault="00ED3780" w:rsidP="00ED3780">
            <w:pPr>
              <w:spacing w:after="120" w:line="240" w:lineRule="auto"/>
              <w:jc w:val="both"/>
              <w:rPr>
                <w:rFonts w:ascii="Times New Roman" w:hAnsi="Times New Roman"/>
              </w:rPr>
            </w:pPr>
            <w:r w:rsidRPr="00BB60A9">
              <w:rPr>
                <w:rFonts w:ascii="Times New Roman" w:hAnsi="Times New Roman"/>
              </w:rPr>
              <w:t>Analizując jednakże występujące w tym obszarze rozwiązania, należy podkreślić, iż zasady funkcjonowania sektora ogrzewania i chłodzenia (a także wzajemne relacje między ogrzewaniem i chłodzeniem w kategoriach wolumenu wykorzystywanej energii) uzależnione są od indywidualnych czynników takich jak: położenie geograficzne danego państwa członkowskiego rzutujące na panujące warunki klimatyczne (rozwinięte ciepłownictwo systemowe w krajach północno – wschodniej Europy takich jak państwa bałtyckie i Polska i praktycznie nieistniejące w Europie Południowej), dostępne surowce energetyczne (odnawialne i nieodnawialne), uwarunkowania polityczne, aspekty społeczne i środowiskowe. Argumentuje się</w:t>
            </w:r>
            <w:r>
              <w:rPr>
                <w:rFonts w:ascii="Times New Roman" w:hAnsi="Times New Roman"/>
              </w:rPr>
              <w:t>,</w:t>
            </w:r>
            <w:r w:rsidRPr="00BB60A9">
              <w:rPr>
                <w:rFonts w:ascii="Times New Roman" w:hAnsi="Times New Roman"/>
              </w:rPr>
              <w:t xml:space="preserve"> że stosunkowo słabo rozwinięte ciepłownictwo sieciowe w Wielkiej Brytanii czy Irlandii</w:t>
            </w:r>
            <w:r>
              <w:rPr>
                <w:rFonts w:ascii="Times New Roman" w:hAnsi="Times New Roman"/>
              </w:rPr>
              <w:t>,</w:t>
            </w:r>
            <w:r w:rsidRPr="00BB60A9">
              <w:rPr>
                <w:rFonts w:ascii="Times New Roman" w:hAnsi="Times New Roman"/>
              </w:rPr>
              <w:t xml:space="preserve"> jest w dużym stopniu efektem zakorzenionej głęboko tradycji wykorzystania indywidualnych źródeł grzewczych przez mieszkańców</w:t>
            </w:r>
            <w:r w:rsidR="00012686">
              <w:rPr>
                <w:rFonts w:ascii="Times New Roman" w:hAnsi="Times New Roman"/>
              </w:rPr>
              <w:t>.</w:t>
            </w:r>
            <w:r w:rsidRPr="00BB60A9">
              <w:rPr>
                <w:rFonts w:ascii="Times New Roman" w:hAnsi="Times New Roman"/>
              </w:rPr>
              <w:t xml:space="preserve"> W odniesieniu do udziału energii odnawialnej w sektorze ogrzewania, tylko kilka państw (Austria, Dania, Francja, Islandia, Norwegia, Szwecja i Szwajcaria) może wykazać ponad 20% udział tego rodzaju źródeł wykorzystywanych bezpośrednio (biomasa, geotermia, odpady). Kolejnym elementem, który wpływa w sposób istotny na sposób regulacji sektora ciepłownictwa jest kwestia struktury własnościowej aktywów. W Danii, model regulacyjny przewiduje stosowanie zasady </w:t>
            </w:r>
            <w:r w:rsidRPr="00BB60A9">
              <w:rPr>
                <w:rFonts w:ascii="Times New Roman" w:hAnsi="Times New Roman"/>
                <w:i/>
                <w:iCs/>
              </w:rPr>
              <w:t>non–profit</w:t>
            </w:r>
            <w:r w:rsidRPr="00BB60A9">
              <w:rPr>
                <w:rFonts w:ascii="Times New Roman" w:hAnsi="Times New Roman"/>
              </w:rPr>
              <w:t xml:space="preserve"> w zakresie ogrzewania publicznego. W efekcie zarządzanie siecią i dostarczanie ciepła jest domeną spółdzielni będących własnością albo samych odbiorców albo władz lokalnych. Nastąpił </w:t>
            </w:r>
            <w:r>
              <w:rPr>
                <w:rFonts w:ascii="Times New Roman" w:hAnsi="Times New Roman"/>
              </w:rPr>
              <w:t xml:space="preserve">tam </w:t>
            </w:r>
            <w:r w:rsidRPr="00BB60A9">
              <w:rPr>
                <w:rFonts w:ascii="Times New Roman" w:hAnsi="Times New Roman"/>
              </w:rPr>
              <w:t>praktyczny rozdział wytwarzania ciepła, opartego na dużych jednostkach wytwórczych oraz dostarczania ciepła do odbiorców końcowych. W Niemczech z kolei, większość przedsiębiorstw działających na rynku ciepła znajduje się w rękach prywatnych. Szwecja natomiast jest przykładem silnej roli sektora publicznego (ponad 2/3 spółek należy do państwa lub władz lokalnych).</w:t>
            </w:r>
          </w:p>
          <w:p w14:paraId="1452B90B" w14:textId="52114B8B" w:rsidR="00ED3780" w:rsidRPr="001551A5" w:rsidRDefault="00ED3780" w:rsidP="00ED3780">
            <w:pPr>
              <w:spacing w:line="240" w:lineRule="auto"/>
              <w:jc w:val="both"/>
              <w:rPr>
                <w:rFonts w:ascii="Times New Roman" w:hAnsi="Times New Roman"/>
                <w:b/>
                <w:bCs/>
                <w:color w:val="000000"/>
                <w:spacing w:val="-2"/>
                <w:u w:val="single"/>
              </w:rPr>
            </w:pPr>
            <w:r>
              <w:rPr>
                <w:rFonts w:ascii="Times New Roman" w:hAnsi="Times New Roman"/>
                <w:b/>
                <w:bCs/>
                <w:color w:val="000000"/>
                <w:spacing w:val="-2"/>
                <w:u w:val="single"/>
              </w:rPr>
              <w:t>III.</w:t>
            </w:r>
            <w:r w:rsidR="002D3E37">
              <w:rPr>
                <w:rFonts w:ascii="Times New Roman" w:hAnsi="Times New Roman"/>
                <w:b/>
                <w:bCs/>
                <w:color w:val="000000"/>
                <w:spacing w:val="-2"/>
                <w:u w:val="single"/>
              </w:rPr>
              <w:t xml:space="preserve">2. </w:t>
            </w:r>
            <w:r w:rsidRPr="001551A5">
              <w:rPr>
                <w:rFonts w:ascii="Times New Roman" w:hAnsi="Times New Roman"/>
                <w:b/>
                <w:bCs/>
                <w:color w:val="000000"/>
                <w:spacing w:val="-2"/>
                <w:u w:val="single"/>
              </w:rPr>
              <w:t>Gwarancje pochodzenia</w:t>
            </w:r>
          </w:p>
          <w:p w14:paraId="4491A27A" w14:textId="77777777" w:rsidR="00ED3780" w:rsidRPr="00476E49" w:rsidRDefault="00ED3780" w:rsidP="004B458B">
            <w:pPr>
              <w:spacing w:after="120" w:line="240" w:lineRule="auto"/>
              <w:jc w:val="both"/>
              <w:rPr>
                <w:rFonts w:ascii="Times New Roman" w:hAnsi="Times New Roman"/>
                <w:color w:val="000000"/>
              </w:rPr>
            </w:pPr>
            <w:r w:rsidRPr="00476E49">
              <w:rPr>
                <w:rFonts w:ascii="Times New Roman" w:hAnsi="Times New Roman"/>
                <w:color w:val="000000"/>
                <w:spacing w:val="-2"/>
              </w:rPr>
              <w:t xml:space="preserve">Z ankiety dotyczącej udziału w AIB przeprowadzonej przez Urząd Regulacji Energetyki wśród regulatorów w UE wynika, że przyjęte modele różnią się od siebie. </w:t>
            </w:r>
            <w:r w:rsidRPr="00476E49">
              <w:rPr>
                <w:rFonts w:ascii="Times New Roman" w:hAnsi="Times New Roman"/>
                <w:color w:val="000000"/>
              </w:rPr>
              <w:t>Ankietę wysłano do 27 Regulatorów.</w:t>
            </w:r>
          </w:p>
          <w:p w14:paraId="2213071A"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1551A5">
              <w:rPr>
                <w:rFonts w:ascii="Times New Roman" w:hAnsi="Times New Roman"/>
                <w:color w:val="000000"/>
                <w:sz w:val="22"/>
                <w:szCs w:val="22"/>
                <w:u w:val="single"/>
              </w:rPr>
              <w:t>Na ankietę odpowiedziało 17-tu Regulatorów</w:t>
            </w:r>
            <w:r w:rsidRPr="00476E49">
              <w:rPr>
                <w:rFonts w:ascii="Times New Roman" w:hAnsi="Times New Roman" w:cs="Times New Roman"/>
                <w:b/>
                <w:bCs/>
                <w:color w:val="000000"/>
                <w:sz w:val="22"/>
                <w:szCs w:val="22"/>
              </w:rPr>
              <w:t xml:space="preserve">: </w:t>
            </w:r>
            <w:r w:rsidRPr="00476E49">
              <w:rPr>
                <w:rFonts w:ascii="Times New Roman" w:hAnsi="Times New Roman" w:cs="Times New Roman"/>
                <w:color w:val="000000"/>
                <w:sz w:val="22"/>
                <w:szCs w:val="22"/>
              </w:rPr>
              <w:t>Austria, Cypr, Czechy, Estonia, Niemcy, Grecja, Węgry, Włochy, Łotwa, Luksemburg, Malta, Portugalia, Rumunia, Słowacja, Słowenia, Szwecja, Wielka Brytania.</w:t>
            </w:r>
          </w:p>
          <w:p w14:paraId="4F042FAF" w14:textId="77777777" w:rsidR="00ED3780" w:rsidRPr="00476E49" w:rsidRDefault="00ED3780" w:rsidP="004B458B">
            <w:pPr>
              <w:pStyle w:val="urepodpis"/>
              <w:spacing w:after="120" w:line="240" w:lineRule="auto"/>
              <w:ind w:left="0"/>
              <w:jc w:val="both"/>
              <w:rPr>
                <w:rFonts w:ascii="Times New Roman" w:hAnsi="Times New Roman" w:cs="Times New Roman"/>
                <w:color w:val="000000"/>
                <w:sz w:val="22"/>
                <w:szCs w:val="22"/>
              </w:rPr>
            </w:pPr>
            <w:r w:rsidRPr="001551A5">
              <w:rPr>
                <w:rFonts w:ascii="Times New Roman" w:hAnsi="Times New Roman"/>
                <w:color w:val="000000"/>
                <w:sz w:val="22"/>
                <w:szCs w:val="22"/>
                <w:u w:val="single"/>
              </w:rPr>
              <w:t xml:space="preserve">Na ankietę nie odpowiedzieli następujący </w:t>
            </w:r>
            <w:proofErr w:type="spellStart"/>
            <w:r w:rsidRPr="001551A5">
              <w:rPr>
                <w:rFonts w:ascii="Times New Roman" w:hAnsi="Times New Roman"/>
                <w:color w:val="000000"/>
                <w:sz w:val="22"/>
                <w:szCs w:val="22"/>
                <w:u w:val="single"/>
              </w:rPr>
              <w:t>Regulatorzy</w:t>
            </w:r>
            <w:proofErr w:type="spellEnd"/>
            <w:r w:rsidRPr="00476E49">
              <w:rPr>
                <w:rFonts w:ascii="Times New Roman" w:hAnsi="Times New Roman" w:cs="Times New Roman"/>
                <w:b/>
                <w:bCs/>
                <w:color w:val="000000"/>
                <w:sz w:val="22"/>
                <w:szCs w:val="22"/>
              </w:rPr>
              <w:t xml:space="preserve">: </w:t>
            </w:r>
            <w:r w:rsidRPr="001551A5">
              <w:rPr>
                <w:rFonts w:ascii="Times New Roman" w:hAnsi="Times New Roman"/>
                <w:color w:val="000000"/>
                <w:sz w:val="22"/>
                <w:szCs w:val="22"/>
              </w:rPr>
              <w:t>Belgia, Bułgaria, Chorwacja, Dania, Finlandia, Francja, Irlandia, Litwa, Holandia, Hiszpania</w:t>
            </w:r>
            <w:r w:rsidRPr="00476E49">
              <w:rPr>
                <w:rFonts w:ascii="Times New Roman" w:hAnsi="Times New Roman" w:cs="Times New Roman"/>
                <w:color w:val="000000"/>
                <w:sz w:val="22"/>
                <w:szCs w:val="22"/>
              </w:rPr>
              <w:t>.</w:t>
            </w:r>
          </w:p>
          <w:p w14:paraId="78DCEE00"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Z przesłanych ankiet wynika:</w:t>
            </w:r>
          </w:p>
          <w:p w14:paraId="4EA37F31" w14:textId="22CE8DB1" w:rsidR="00ED3780" w:rsidRPr="00476E49" w:rsidRDefault="00ED3780" w:rsidP="00ED3780">
            <w:pPr>
              <w:pStyle w:val="urepodpis"/>
              <w:numPr>
                <w:ilvl w:val="0"/>
                <w:numId w:val="97"/>
              </w:numPr>
              <w:spacing w:line="240" w:lineRule="auto"/>
              <w:ind w:left="486"/>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 xml:space="preserve">4 z 17 </w:t>
            </w:r>
            <w:r w:rsidR="00EA3A71">
              <w:rPr>
                <w:rFonts w:ascii="Times New Roman" w:hAnsi="Times New Roman" w:cs="Times New Roman"/>
                <w:color w:val="000000"/>
                <w:sz w:val="22"/>
                <w:szCs w:val="22"/>
              </w:rPr>
              <w:t>o</w:t>
            </w:r>
            <w:r w:rsidRPr="00476E49">
              <w:rPr>
                <w:rFonts w:ascii="Times New Roman" w:hAnsi="Times New Roman" w:cs="Times New Roman"/>
                <w:color w:val="000000"/>
                <w:sz w:val="22"/>
                <w:szCs w:val="22"/>
              </w:rPr>
              <w:t>rganów wydających gwarancje pochodzenia nie są Członkiem AIB (Węgry, Malta, Rumunia, Wielka Brytania);</w:t>
            </w:r>
          </w:p>
          <w:p w14:paraId="71536B1E" w14:textId="35BEA643" w:rsidR="00ED3780" w:rsidRPr="00476E49" w:rsidRDefault="0079284A" w:rsidP="00ED3780">
            <w:pPr>
              <w:pStyle w:val="urepodpis"/>
              <w:numPr>
                <w:ilvl w:val="0"/>
                <w:numId w:val="97"/>
              </w:numPr>
              <w:spacing w:line="240" w:lineRule="auto"/>
              <w:ind w:left="486"/>
              <w:jc w:val="both"/>
              <w:rPr>
                <w:rFonts w:ascii="Times New Roman" w:hAnsi="Times New Roman" w:cs="Times New Roman"/>
                <w:color w:val="000000"/>
                <w:sz w:val="22"/>
                <w:szCs w:val="22"/>
              </w:rPr>
            </w:pPr>
            <w:r>
              <w:rPr>
                <w:rFonts w:ascii="Times New Roman" w:hAnsi="Times New Roman" w:cs="Times New Roman"/>
                <w:color w:val="000000"/>
                <w:sz w:val="22"/>
                <w:szCs w:val="22"/>
              </w:rPr>
              <w:t>w</w:t>
            </w:r>
            <w:r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przypadku dziewięciu</w:t>
            </w:r>
            <w:r w:rsidR="00ED3780" w:rsidRPr="001551A5">
              <w:rPr>
                <w:rFonts w:ascii="Times New Roman" w:hAnsi="Times New Roman"/>
                <w:color w:val="000000"/>
                <w:sz w:val="22"/>
                <w:szCs w:val="22"/>
              </w:rPr>
              <w:t xml:space="preserve"> p</w:t>
            </w:r>
            <w:r w:rsidR="00ED3780" w:rsidRPr="00476E49">
              <w:rPr>
                <w:rFonts w:ascii="Times New Roman" w:hAnsi="Times New Roman" w:cs="Times New Roman"/>
                <w:color w:val="000000"/>
                <w:sz w:val="22"/>
                <w:szCs w:val="22"/>
              </w:rPr>
              <w:t>aństw członkostwo jest uregulowane</w:t>
            </w:r>
            <w:r w:rsidR="00ED3780" w:rsidRPr="001551A5">
              <w:rPr>
                <w:rFonts w:ascii="Times New Roman" w:hAnsi="Times New Roman"/>
                <w:color w:val="000000"/>
                <w:sz w:val="22"/>
                <w:szCs w:val="22"/>
              </w:rPr>
              <w:t xml:space="preserve"> przepisami prawa krajowego, w przypadku</w:t>
            </w:r>
            <w:r w:rsidR="00ED3780" w:rsidRPr="00476E49">
              <w:rPr>
                <w:rFonts w:ascii="Times New Roman" w:hAnsi="Times New Roman" w:cs="Times New Roman"/>
                <w:color w:val="000000"/>
                <w:sz w:val="22"/>
                <w:szCs w:val="22"/>
              </w:rPr>
              <w:t xml:space="preserve"> </w:t>
            </w:r>
            <w:r w:rsidR="00ED3780" w:rsidRPr="001551A5">
              <w:rPr>
                <w:rFonts w:ascii="Times New Roman" w:hAnsi="Times New Roman"/>
                <w:color w:val="000000"/>
                <w:sz w:val="22"/>
                <w:szCs w:val="22"/>
              </w:rPr>
              <w:t>czterech natomiast (Portugalii, Włoch, Estonii, Niemiec), członkostwo nie wynika z przepisów prawa;</w:t>
            </w:r>
          </w:p>
          <w:p w14:paraId="28414274" w14:textId="6DFD2570" w:rsidR="00ED3780" w:rsidRPr="001551A5" w:rsidRDefault="0079284A" w:rsidP="004B458B">
            <w:pPr>
              <w:pStyle w:val="urepodpis"/>
              <w:numPr>
                <w:ilvl w:val="0"/>
                <w:numId w:val="97"/>
              </w:numPr>
              <w:spacing w:after="120" w:line="240" w:lineRule="auto"/>
              <w:ind w:left="486"/>
              <w:jc w:val="both"/>
              <w:rPr>
                <w:rFonts w:ascii="Times New Roman" w:hAnsi="Times New Roman"/>
                <w:color w:val="000000"/>
                <w:sz w:val="22"/>
                <w:szCs w:val="22"/>
              </w:rPr>
            </w:pPr>
            <w:r>
              <w:rPr>
                <w:rFonts w:ascii="Times New Roman" w:hAnsi="Times New Roman" w:cs="Times New Roman"/>
                <w:color w:val="000000"/>
                <w:sz w:val="22"/>
                <w:szCs w:val="22"/>
              </w:rPr>
              <w:t>c</w:t>
            </w:r>
            <w:r w:rsidRPr="00476E49">
              <w:rPr>
                <w:rFonts w:ascii="Times New Roman" w:hAnsi="Times New Roman" w:cs="Times New Roman"/>
                <w:color w:val="000000"/>
                <w:sz w:val="22"/>
                <w:szCs w:val="22"/>
              </w:rPr>
              <w:t xml:space="preserve">złonkostwo </w:t>
            </w:r>
            <w:r w:rsidR="00ED3780" w:rsidRPr="00476E49">
              <w:rPr>
                <w:rFonts w:ascii="Times New Roman" w:hAnsi="Times New Roman" w:cs="Times New Roman"/>
                <w:color w:val="000000"/>
                <w:sz w:val="22"/>
                <w:szCs w:val="22"/>
              </w:rPr>
              <w:t>w AIB w przypadku 3 krajów jest finansowane ze środków publicznych (Cypr, Estonia, Szwecja).</w:t>
            </w:r>
          </w:p>
          <w:p w14:paraId="778DBF5F" w14:textId="77777777" w:rsidR="00ED3780" w:rsidRPr="00476E49" w:rsidRDefault="00ED3780" w:rsidP="00ED3780">
            <w:pPr>
              <w:pStyle w:val="urepodpis"/>
              <w:spacing w:line="240" w:lineRule="auto"/>
              <w:ind w:left="0"/>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Sposób finansowania członkostwa w AIB pozostałych 10 krajach, które odpowiedziały na ankietę (Austria, Czechy,</w:t>
            </w:r>
            <w:r w:rsidRPr="007A657E">
              <w:rPr>
                <w:rFonts w:ascii="Times New Roman" w:hAnsi="Times New Roman" w:cs="Times New Roman"/>
                <w:color w:val="000000"/>
                <w:sz w:val="22"/>
                <w:szCs w:val="22"/>
              </w:rPr>
              <w:t xml:space="preserve"> </w:t>
            </w:r>
            <w:r w:rsidRPr="00476E49">
              <w:rPr>
                <w:rFonts w:ascii="Times New Roman" w:hAnsi="Times New Roman" w:cs="Times New Roman"/>
                <w:color w:val="000000"/>
                <w:sz w:val="22"/>
                <w:szCs w:val="22"/>
              </w:rPr>
              <w:t>Niemcy, Grecja, Włochy, Łotwa, Luksemburg, Portugalia, Słowacja i Słowenia) kształtuje się następująco:</w:t>
            </w:r>
          </w:p>
          <w:p w14:paraId="13F39B12" w14:textId="78C19443" w:rsidR="00ED3780" w:rsidRPr="00476E49" w:rsidRDefault="008C20A1"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8C20A1">
              <w:rPr>
                <w:rFonts w:ascii="Times New Roman" w:hAnsi="Times New Roman" w:cs="Times New Roman"/>
                <w:color w:val="000000"/>
                <w:sz w:val="22"/>
                <w:szCs w:val="22"/>
              </w:rPr>
              <w:lastRenderedPageBreak/>
              <w:t>Austria, Grecja, Łotwa, Słowenia</w:t>
            </w:r>
            <w:r w:rsidR="004C0172">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933704">
              <w:rPr>
                <w:rFonts w:ascii="Times New Roman" w:hAnsi="Times New Roman" w:cs="Times New Roman"/>
                <w:color w:val="000000"/>
                <w:sz w:val="22"/>
                <w:szCs w:val="22"/>
              </w:rPr>
              <w:t xml:space="preserve"> </w:t>
            </w:r>
            <w:r>
              <w:rPr>
                <w:rFonts w:ascii="Times New Roman" w:hAnsi="Times New Roman" w:cs="Times New Roman"/>
                <w:color w:val="000000"/>
                <w:sz w:val="22"/>
                <w:szCs w:val="22"/>
              </w:rPr>
              <w:t>p</w:t>
            </w:r>
            <w:r w:rsidRPr="00476E49">
              <w:rPr>
                <w:rFonts w:ascii="Times New Roman" w:hAnsi="Times New Roman" w:cs="Times New Roman"/>
                <w:color w:val="000000"/>
                <w:sz w:val="22"/>
                <w:szCs w:val="22"/>
              </w:rPr>
              <w:t xml:space="preserve">rzez </w:t>
            </w:r>
            <w:r w:rsidR="00ED3780" w:rsidRPr="00476E49">
              <w:rPr>
                <w:rFonts w:ascii="Times New Roman" w:hAnsi="Times New Roman" w:cs="Times New Roman"/>
                <w:color w:val="000000"/>
                <w:sz w:val="22"/>
                <w:szCs w:val="22"/>
              </w:rPr>
              <w:t>wytwórców energii z odnawialnych źródeł;</w:t>
            </w:r>
          </w:p>
          <w:p w14:paraId="0390C940" w14:textId="112BC387" w:rsidR="00ED3780" w:rsidRPr="00476E49"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Czechy - </w:t>
            </w:r>
            <w:r w:rsidR="008C20A1">
              <w:rPr>
                <w:rFonts w:ascii="Times New Roman" w:hAnsi="Times New Roman" w:cs="Times New Roman"/>
                <w:color w:val="000000"/>
                <w:sz w:val="22"/>
                <w:szCs w:val="22"/>
              </w:rPr>
              <w:t>z</w:t>
            </w:r>
            <w:r w:rsidR="008C20A1"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 xml:space="preserve">opłat pobieranych od posiadaczy rachunków w OTE, </w:t>
            </w:r>
            <w:proofErr w:type="spellStart"/>
            <w:r w:rsidR="00ED3780" w:rsidRPr="00476E49">
              <w:rPr>
                <w:rFonts w:ascii="Times New Roman" w:hAnsi="Times New Roman" w:cs="Times New Roman"/>
                <w:color w:val="000000"/>
                <w:sz w:val="22"/>
                <w:szCs w:val="22"/>
              </w:rPr>
              <w:t>a.s</w:t>
            </w:r>
            <w:proofErr w:type="spellEnd"/>
            <w:r w:rsidR="00ED3780" w:rsidRPr="00476E49">
              <w:rPr>
                <w:rFonts w:ascii="Times New Roman" w:hAnsi="Times New Roman" w:cs="Times New Roman"/>
                <w:color w:val="000000"/>
                <w:sz w:val="22"/>
                <w:szCs w:val="22"/>
              </w:rPr>
              <w:t xml:space="preserve">. - czeski operator rynku energii elektrycznej i gazu (wytwórców energii z OZE) - opłaty na podstawie zarządzenia wykonawczego </w:t>
            </w:r>
            <w:r>
              <w:rPr>
                <w:rFonts w:ascii="Times New Roman" w:hAnsi="Times New Roman" w:cs="Times New Roman"/>
                <w:color w:val="000000"/>
                <w:sz w:val="22"/>
                <w:szCs w:val="22"/>
              </w:rPr>
              <w:t xml:space="preserve">czeskiego </w:t>
            </w:r>
            <w:r w:rsidR="00ED3780" w:rsidRPr="00476E49">
              <w:rPr>
                <w:rFonts w:ascii="Times New Roman" w:hAnsi="Times New Roman" w:cs="Times New Roman"/>
                <w:color w:val="000000"/>
                <w:sz w:val="22"/>
                <w:szCs w:val="22"/>
              </w:rPr>
              <w:t>Urzędu Regulacji Energetyki - opłata miesięczna za każdy aktywny rachunek, opłata za wydanie każdej gwarancji pochodzenia, opłata za każdą transakcję;</w:t>
            </w:r>
          </w:p>
          <w:p w14:paraId="64854934" w14:textId="40530247" w:rsidR="00ED3780" w:rsidRPr="00D0369F"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476E49">
              <w:rPr>
                <w:rFonts w:ascii="Times New Roman" w:hAnsi="Times New Roman" w:cs="Times New Roman"/>
                <w:color w:val="000000"/>
                <w:sz w:val="22"/>
                <w:szCs w:val="22"/>
              </w:rPr>
              <w:t>Niemc</w:t>
            </w:r>
            <w:r>
              <w:rPr>
                <w:rFonts w:ascii="Times New Roman" w:hAnsi="Times New Roman" w:cs="Times New Roman"/>
                <w:color w:val="000000"/>
                <w:sz w:val="22"/>
                <w:szCs w:val="22"/>
              </w:rPr>
              <w:t>y</w:t>
            </w:r>
            <w:r w:rsidRPr="00476E49">
              <w:rPr>
                <w:rFonts w:ascii="Times New Roman" w:hAnsi="Times New Roman" w:cs="Times New Roman"/>
                <w:color w:val="000000"/>
                <w:sz w:val="22"/>
                <w:szCs w:val="22"/>
              </w:rPr>
              <w:t xml:space="preserve"> </w:t>
            </w:r>
            <w:r w:rsidR="00ED3780" w:rsidRPr="00476E49">
              <w:rPr>
                <w:rFonts w:ascii="Times New Roman" w:hAnsi="Times New Roman" w:cs="Times New Roman"/>
                <w:color w:val="000000"/>
                <w:sz w:val="22"/>
                <w:szCs w:val="22"/>
              </w:rPr>
              <w:t xml:space="preserve">- korzystanie z rejestru, a także wydawanie, przekazywanie i unieważnianie gwarancji pochodzenia jest odpłatne, na podstawie rozporządzenia </w:t>
            </w:r>
            <w:proofErr w:type="spellStart"/>
            <w:r w:rsidR="00ED3780" w:rsidRPr="00476E49">
              <w:rPr>
                <w:rFonts w:ascii="Times New Roman" w:hAnsi="Times New Roman" w:cs="Times New Roman"/>
                <w:i/>
                <w:iCs/>
                <w:color w:val="000000"/>
                <w:sz w:val="22"/>
                <w:szCs w:val="22"/>
              </w:rPr>
              <w:t>Guarantees</w:t>
            </w:r>
            <w:proofErr w:type="spellEnd"/>
            <w:r w:rsidR="00ED3780" w:rsidRPr="00476E49">
              <w:rPr>
                <w:rFonts w:ascii="Times New Roman" w:hAnsi="Times New Roman" w:cs="Times New Roman"/>
                <w:i/>
                <w:iCs/>
                <w:color w:val="000000"/>
                <w:sz w:val="22"/>
                <w:szCs w:val="22"/>
              </w:rPr>
              <w:t xml:space="preserve"> of </w:t>
            </w:r>
            <w:proofErr w:type="spellStart"/>
            <w:r w:rsidR="00ED3780" w:rsidRPr="00476E49">
              <w:rPr>
                <w:rFonts w:ascii="Times New Roman" w:hAnsi="Times New Roman" w:cs="Times New Roman"/>
                <w:i/>
                <w:iCs/>
                <w:color w:val="000000"/>
                <w:sz w:val="22"/>
                <w:szCs w:val="22"/>
              </w:rPr>
              <w:t>Origin</w:t>
            </w:r>
            <w:proofErr w:type="spellEnd"/>
            <w:r w:rsidR="00ED3780" w:rsidRPr="00476E49">
              <w:rPr>
                <w:rFonts w:ascii="Times New Roman" w:hAnsi="Times New Roman" w:cs="Times New Roman"/>
                <w:i/>
                <w:iCs/>
                <w:color w:val="000000"/>
                <w:sz w:val="22"/>
                <w:szCs w:val="22"/>
              </w:rPr>
              <w:t xml:space="preserve"> and </w:t>
            </w:r>
            <w:proofErr w:type="spellStart"/>
            <w:r w:rsidR="00ED3780" w:rsidRPr="00476E49">
              <w:rPr>
                <w:rFonts w:ascii="Times New Roman" w:hAnsi="Times New Roman" w:cs="Times New Roman"/>
                <w:i/>
                <w:iCs/>
                <w:color w:val="000000"/>
                <w:sz w:val="22"/>
                <w:szCs w:val="22"/>
              </w:rPr>
              <w:t>Guarantees</w:t>
            </w:r>
            <w:proofErr w:type="spellEnd"/>
            <w:r w:rsidR="00ED3780" w:rsidRPr="00476E49">
              <w:rPr>
                <w:rFonts w:ascii="Times New Roman" w:hAnsi="Times New Roman" w:cs="Times New Roman"/>
                <w:i/>
                <w:iCs/>
                <w:color w:val="000000"/>
                <w:sz w:val="22"/>
                <w:szCs w:val="22"/>
              </w:rPr>
              <w:t xml:space="preserve"> of </w:t>
            </w:r>
            <w:proofErr w:type="spellStart"/>
            <w:r w:rsidR="00ED3780" w:rsidRPr="00476E49">
              <w:rPr>
                <w:rFonts w:ascii="Times New Roman" w:hAnsi="Times New Roman" w:cs="Times New Roman"/>
                <w:i/>
                <w:iCs/>
                <w:color w:val="000000"/>
                <w:sz w:val="22"/>
                <w:szCs w:val="22"/>
              </w:rPr>
              <w:t>Regional</w:t>
            </w:r>
            <w:proofErr w:type="spellEnd"/>
            <w:r w:rsidR="00ED3780" w:rsidRPr="00D0369F">
              <w:rPr>
                <w:rFonts w:ascii="Times New Roman" w:hAnsi="Times New Roman" w:cs="Times New Roman"/>
                <w:i/>
                <w:iCs/>
                <w:color w:val="000000"/>
                <w:sz w:val="22"/>
                <w:szCs w:val="22"/>
              </w:rPr>
              <w:t xml:space="preserve"> </w:t>
            </w:r>
            <w:proofErr w:type="spellStart"/>
            <w:r w:rsidR="00ED3780" w:rsidRPr="00D0369F">
              <w:rPr>
                <w:rFonts w:ascii="Times New Roman" w:hAnsi="Times New Roman" w:cs="Times New Roman"/>
                <w:i/>
                <w:iCs/>
                <w:color w:val="000000"/>
                <w:sz w:val="22"/>
                <w:szCs w:val="22"/>
              </w:rPr>
              <w:t>Origin</w:t>
            </w:r>
            <w:proofErr w:type="spellEnd"/>
            <w:r w:rsidR="00ED3780" w:rsidRPr="00D0369F">
              <w:rPr>
                <w:rFonts w:ascii="Times New Roman" w:hAnsi="Times New Roman" w:cs="Times New Roman"/>
                <w:i/>
                <w:iCs/>
                <w:color w:val="000000"/>
                <w:sz w:val="22"/>
                <w:szCs w:val="22"/>
              </w:rPr>
              <w:t xml:space="preserve"> </w:t>
            </w:r>
            <w:proofErr w:type="spellStart"/>
            <w:r w:rsidR="00ED3780" w:rsidRPr="00D0369F">
              <w:rPr>
                <w:rFonts w:ascii="Times New Roman" w:hAnsi="Times New Roman" w:cs="Times New Roman"/>
                <w:i/>
                <w:iCs/>
                <w:color w:val="000000"/>
                <w:sz w:val="22"/>
                <w:szCs w:val="22"/>
              </w:rPr>
              <w:t>Fees</w:t>
            </w:r>
            <w:proofErr w:type="spellEnd"/>
            <w:r w:rsidR="00ED3780" w:rsidRPr="00D0369F">
              <w:rPr>
                <w:rFonts w:ascii="Times New Roman" w:hAnsi="Times New Roman" w:cs="Times New Roman"/>
                <w:i/>
                <w:iCs/>
                <w:color w:val="000000"/>
                <w:sz w:val="22"/>
                <w:szCs w:val="22"/>
              </w:rPr>
              <w:t xml:space="preserve"> </w:t>
            </w:r>
            <w:proofErr w:type="spellStart"/>
            <w:r w:rsidR="00ED3780" w:rsidRPr="00D0369F">
              <w:rPr>
                <w:rFonts w:ascii="Times New Roman" w:hAnsi="Times New Roman" w:cs="Times New Roman"/>
                <w:i/>
                <w:iCs/>
                <w:color w:val="000000"/>
                <w:sz w:val="22"/>
                <w:szCs w:val="22"/>
              </w:rPr>
              <w:t>Regulation</w:t>
            </w:r>
            <w:proofErr w:type="spellEnd"/>
            <w:r w:rsidR="00ED3780" w:rsidRPr="00D0369F">
              <w:rPr>
                <w:rFonts w:ascii="Times New Roman" w:hAnsi="Times New Roman" w:cs="Times New Roman"/>
                <w:color w:val="000000"/>
                <w:sz w:val="22"/>
                <w:szCs w:val="22"/>
              </w:rPr>
              <w:t>. Dochody wpływają do budżetu federalnego i są uiszczane z budżetu Organu wydającego gwarancje pochodzenia na rzecz AIB;</w:t>
            </w:r>
          </w:p>
          <w:p w14:paraId="68564F7E" w14:textId="710F5C50" w:rsidR="00ED3780" w:rsidRPr="00D0369F" w:rsidRDefault="00526F3D" w:rsidP="00526F3D">
            <w:pPr>
              <w:pStyle w:val="urepodpis"/>
              <w:numPr>
                <w:ilvl w:val="2"/>
                <w:numId w:val="177"/>
              </w:numPr>
              <w:spacing w:line="240" w:lineRule="auto"/>
              <w:ind w:left="48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Włochy - </w:t>
            </w:r>
            <w:r w:rsidR="008C20A1">
              <w:rPr>
                <w:rFonts w:ascii="Times New Roman" w:hAnsi="Times New Roman" w:cs="Times New Roman"/>
                <w:color w:val="000000"/>
                <w:sz w:val="22"/>
                <w:szCs w:val="22"/>
              </w:rPr>
              <w:t>w</w:t>
            </w:r>
            <w:r w:rsidR="008C20A1" w:rsidRPr="00D0369F">
              <w:rPr>
                <w:rFonts w:ascii="Times New Roman" w:hAnsi="Times New Roman" w:cs="Times New Roman"/>
                <w:color w:val="000000"/>
                <w:sz w:val="22"/>
                <w:szCs w:val="22"/>
              </w:rPr>
              <w:t xml:space="preserve"> </w:t>
            </w:r>
            <w:r w:rsidR="00ED3780" w:rsidRPr="00D0369F">
              <w:rPr>
                <w:rFonts w:ascii="Times New Roman" w:hAnsi="Times New Roman" w:cs="Times New Roman"/>
                <w:color w:val="000000"/>
                <w:sz w:val="22"/>
                <w:szCs w:val="22"/>
              </w:rPr>
              <w:t>ramach włoskiego rejestru środki finansowe pochodzą głównie z opłat pobieranych od operatorów rynku (producentów energii z OZE, handlowców, dostawców) zaangażowanych w transakcje gwarancjami pochodzenia;</w:t>
            </w:r>
          </w:p>
          <w:p w14:paraId="52347B6D" w14:textId="69831E23" w:rsidR="00ED3780" w:rsidRPr="00D0369F" w:rsidRDefault="00ED3780"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D0369F">
              <w:rPr>
                <w:rFonts w:ascii="Times New Roman" w:hAnsi="Times New Roman" w:cs="Times New Roman"/>
                <w:color w:val="000000"/>
                <w:sz w:val="22"/>
                <w:szCs w:val="22"/>
              </w:rPr>
              <w:t>Lu</w:t>
            </w:r>
            <w:r>
              <w:rPr>
                <w:rFonts w:ascii="Times New Roman" w:hAnsi="Times New Roman" w:cs="Times New Roman"/>
                <w:color w:val="000000"/>
                <w:sz w:val="22"/>
                <w:szCs w:val="22"/>
              </w:rPr>
              <w:t>ks</w:t>
            </w:r>
            <w:r w:rsidRPr="00D0369F">
              <w:rPr>
                <w:rFonts w:ascii="Times New Roman" w:hAnsi="Times New Roman" w:cs="Times New Roman"/>
                <w:color w:val="000000"/>
                <w:sz w:val="22"/>
                <w:szCs w:val="22"/>
              </w:rPr>
              <w:t>emburg</w:t>
            </w:r>
            <w:r w:rsidR="00526F3D">
              <w:rPr>
                <w:rFonts w:ascii="Times New Roman" w:hAnsi="Times New Roman" w:cs="Times New Roman"/>
                <w:color w:val="000000"/>
                <w:sz w:val="22"/>
                <w:szCs w:val="22"/>
              </w:rPr>
              <w:t xml:space="preserve"> -</w:t>
            </w:r>
            <w:r w:rsidRPr="00D0369F">
              <w:rPr>
                <w:rFonts w:ascii="Times New Roman" w:hAnsi="Times New Roman" w:cs="Times New Roman"/>
                <w:color w:val="000000"/>
                <w:sz w:val="22"/>
                <w:szCs w:val="22"/>
              </w:rPr>
              <w:t xml:space="preserve"> finansowanie z opłat pobieranych przez Organ wydający gwarancje od posiadaczy rachunków w rejestrze „urządzeń produkcyjnych” (OZE);</w:t>
            </w:r>
          </w:p>
          <w:p w14:paraId="426FD898" w14:textId="5CD80C72" w:rsidR="00ED3780" w:rsidRPr="00D0369F" w:rsidRDefault="00ED3780" w:rsidP="00526F3D">
            <w:pPr>
              <w:pStyle w:val="urepodpis"/>
              <w:numPr>
                <w:ilvl w:val="2"/>
                <w:numId w:val="177"/>
              </w:numPr>
              <w:spacing w:line="240" w:lineRule="auto"/>
              <w:ind w:left="489"/>
              <w:jc w:val="both"/>
              <w:rPr>
                <w:rFonts w:ascii="Times New Roman" w:hAnsi="Times New Roman" w:cs="Times New Roman"/>
                <w:color w:val="000000"/>
                <w:sz w:val="22"/>
                <w:szCs w:val="22"/>
              </w:rPr>
            </w:pPr>
            <w:r w:rsidRPr="00D0369F">
              <w:rPr>
                <w:rFonts w:ascii="Times New Roman" w:hAnsi="Times New Roman" w:cs="Times New Roman"/>
                <w:color w:val="000000"/>
                <w:sz w:val="22"/>
                <w:szCs w:val="22"/>
              </w:rPr>
              <w:t>Portugali</w:t>
            </w:r>
            <w:r w:rsidR="00526F3D">
              <w:rPr>
                <w:rFonts w:ascii="Times New Roman" w:hAnsi="Times New Roman" w:cs="Times New Roman"/>
                <w:color w:val="000000"/>
                <w:sz w:val="22"/>
                <w:szCs w:val="22"/>
              </w:rPr>
              <w:t>a</w:t>
            </w:r>
            <w:r w:rsidRPr="00D0369F">
              <w:rPr>
                <w:rFonts w:ascii="Times New Roman" w:hAnsi="Times New Roman" w:cs="Times New Roman"/>
                <w:color w:val="000000"/>
                <w:sz w:val="22"/>
                <w:szCs w:val="22"/>
              </w:rPr>
              <w:t xml:space="preserve"> - z opłat zmiennych, uzależnionych od liczby transakcji związanych z gwarancjami pochodzenia (wydanych, przeniesionych i anulowanych). Gdy opłaty rynkowe nie są wystarczające do pokrycia kosztów, środki zabezpieczane są w taryfie za energię elektryczną;</w:t>
            </w:r>
          </w:p>
          <w:p w14:paraId="57D50A72" w14:textId="67624EC6" w:rsidR="00ED3780" w:rsidRPr="00D0369F" w:rsidRDefault="00ED3780" w:rsidP="00301C67">
            <w:pPr>
              <w:pStyle w:val="urepodpis"/>
              <w:numPr>
                <w:ilvl w:val="2"/>
                <w:numId w:val="177"/>
              </w:numPr>
              <w:spacing w:after="120" w:line="240" w:lineRule="auto"/>
              <w:ind w:left="489"/>
              <w:jc w:val="both"/>
              <w:rPr>
                <w:rFonts w:ascii="Times New Roman" w:hAnsi="Times New Roman"/>
                <w:color w:val="000000"/>
              </w:rPr>
            </w:pPr>
            <w:r w:rsidRPr="00D0369F">
              <w:rPr>
                <w:rFonts w:ascii="Times New Roman" w:hAnsi="Times New Roman" w:cs="Times New Roman"/>
                <w:color w:val="000000"/>
                <w:sz w:val="22"/>
                <w:szCs w:val="22"/>
              </w:rPr>
              <w:t>S</w:t>
            </w:r>
            <w:r w:rsidR="00526F3D">
              <w:rPr>
                <w:rFonts w:ascii="Times New Roman" w:hAnsi="Times New Roman" w:cs="Times New Roman"/>
                <w:color w:val="000000"/>
                <w:sz w:val="22"/>
                <w:szCs w:val="22"/>
              </w:rPr>
              <w:t xml:space="preserve">łowacja - </w:t>
            </w:r>
            <w:r w:rsidRPr="00D0369F">
              <w:rPr>
                <w:rFonts w:ascii="Times New Roman" w:hAnsi="Times New Roman" w:cs="Times New Roman"/>
                <w:color w:val="000000"/>
                <w:sz w:val="22"/>
                <w:szCs w:val="22"/>
              </w:rPr>
              <w:t xml:space="preserve">kładki członkowskie od wytwórców i dostawców energii elektrycznej na podstawie umowy z organem wydającym gwarancje pochodzenia - OKTE, </w:t>
            </w:r>
            <w:proofErr w:type="spellStart"/>
            <w:r w:rsidRPr="00D0369F">
              <w:rPr>
                <w:rFonts w:ascii="Times New Roman" w:hAnsi="Times New Roman" w:cs="Times New Roman"/>
                <w:color w:val="000000"/>
                <w:sz w:val="22"/>
                <w:szCs w:val="22"/>
              </w:rPr>
              <w:t>a.s</w:t>
            </w:r>
            <w:proofErr w:type="spellEnd"/>
            <w:r w:rsidRPr="00D0369F">
              <w:rPr>
                <w:rFonts w:ascii="Times New Roman" w:hAnsi="Times New Roman" w:cs="Times New Roman"/>
                <w:color w:val="000000"/>
                <w:sz w:val="22"/>
                <w:szCs w:val="22"/>
              </w:rPr>
              <w:t xml:space="preserve">. od czynności związanych z wystawianiem i korzystaniem z gwarancji </w:t>
            </w:r>
            <w:r w:rsidR="00526F3D">
              <w:rPr>
                <w:rFonts w:ascii="Times New Roman" w:hAnsi="Times New Roman" w:cs="Times New Roman"/>
                <w:color w:val="000000"/>
                <w:sz w:val="22"/>
                <w:szCs w:val="22"/>
              </w:rPr>
              <w:t>pochodzenia.</w:t>
            </w:r>
          </w:p>
          <w:p w14:paraId="340C2DF7" w14:textId="7B9D07FE" w:rsidR="0043260E" w:rsidRPr="001551A5" w:rsidRDefault="002D3E37">
            <w:pPr>
              <w:spacing w:line="240" w:lineRule="auto"/>
              <w:jc w:val="both"/>
              <w:rPr>
                <w:rFonts w:ascii="Times New Roman" w:hAnsi="Times New Roman"/>
                <w:b/>
                <w:u w:val="single"/>
              </w:rPr>
            </w:pPr>
            <w:r>
              <w:rPr>
                <w:rFonts w:ascii="Times New Roman" w:hAnsi="Times New Roman"/>
                <w:b/>
                <w:u w:val="single"/>
              </w:rPr>
              <w:t xml:space="preserve">III.3. </w:t>
            </w:r>
            <w:r w:rsidR="0043260E" w:rsidRPr="001551A5">
              <w:rPr>
                <w:rFonts w:ascii="Times New Roman" w:hAnsi="Times New Roman"/>
                <w:b/>
                <w:u w:val="single"/>
              </w:rPr>
              <w:t xml:space="preserve">Krajowy Punkt Kontaktowy </w:t>
            </w:r>
            <w:r w:rsidR="00933704">
              <w:rPr>
                <w:rFonts w:ascii="Times New Roman" w:hAnsi="Times New Roman"/>
                <w:b/>
                <w:u w:val="single"/>
              </w:rPr>
              <w:t>OZE</w:t>
            </w:r>
          </w:p>
          <w:p w14:paraId="50CDB119" w14:textId="77777777" w:rsidR="0043260E" w:rsidRPr="00F72775" w:rsidRDefault="0043260E">
            <w:pPr>
              <w:spacing w:line="240" w:lineRule="auto"/>
              <w:jc w:val="both"/>
              <w:rPr>
                <w:rFonts w:ascii="Times New Roman" w:hAnsi="Times New Roman"/>
                <w:b/>
              </w:rPr>
            </w:pPr>
            <w:r w:rsidRPr="00F72775">
              <w:rPr>
                <w:rFonts w:ascii="Times New Roman" w:hAnsi="Times New Roman"/>
                <w:b/>
              </w:rPr>
              <w:t>Szwecja</w:t>
            </w:r>
          </w:p>
          <w:p w14:paraId="7E0FF1D5" w14:textId="15180559" w:rsidR="0043260E" w:rsidRPr="00D0369F" w:rsidRDefault="0043260E">
            <w:pPr>
              <w:spacing w:line="240" w:lineRule="auto"/>
              <w:jc w:val="both"/>
              <w:rPr>
                <w:rFonts w:ascii="Times New Roman" w:hAnsi="Times New Roman"/>
              </w:rPr>
            </w:pPr>
            <w:r w:rsidRPr="00D0369F">
              <w:rPr>
                <w:rFonts w:ascii="Times New Roman" w:hAnsi="Times New Roman"/>
              </w:rPr>
              <w:t xml:space="preserve">Szwedzki rząd jest w trakcie opracowywania ostatecznej propozycji wdrożenia art. 16. przedmiotowej dyrektywy. Pierwsza propozycja została przesłana do konsultacji społecznych w październiku 2020 r. </w:t>
            </w:r>
            <w:r w:rsidR="00031A68">
              <w:rPr>
                <w:rFonts w:ascii="Times New Roman" w:hAnsi="Times New Roman"/>
              </w:rPr>
              <w:t>Zakłada ona</w:t>
            </w:r>
            <w:r w:rsidR="00526F3D">
              <w:rPr>
                <w:rFonts w:ascii="Times New Roman" w:hAnsi="Times New Roman"/>
              </w:rPr>
              <w:t>,</w:t>
            </w:r>
            <w:r w:rsidR="00031A68">
              <w:rPr>
                <w:rFonts w:ascii="Times New Roman" w:hAnsi="Times New Roman"/>
              </w:rPr>
              <w:t xml:space="preserve"> m.in.:</w:t>
            </w:r>
            <w:r w:rsidRPr="00D0369F">
              <w:rPr>
                <w:rFonts w:ascii="Times New Roman" w:hAnsi="Times New Roman"/>
              </w:rPr>
              <w:t xml:space="preserve"> </w:t>
            </w:r>
          </w:p>
          <w:p w14:paraId="31DF13DD" w14:textId="3CFD10C5" w:rsidR="0043260E" w:rsidRPr="00D0369F" w:rsidRDefault="00526F3D" w:rsidP="00526F3D">
            <w:pPr>
              <w:numPr>
                <w:ilvl w:val="0"/>
                <w:numId w:val="178"/>
              </w:numPr>
              <w:tabs>
                <w:tab w:val="clear" w:pos="720"/>
                <w:tab w:val="num" w:pos="360"/>
              </w:tabs>
              <w:spacing w:line="240" w:lineRule="auto"/>
              <w:jc w:val="both"/>
              <w:rPr>
                <w:rFonts w:ascii="Times New Roman" w:hAnsi="Times New Roman"/>
              </w:rPr>
            </w:pPr>
            <w:r>
              <w:rPr>
                <w:rFonts w:ascii="Times New Roman" w:hAnsi="Times New Roman"/>
              </w:rPr>
              <w:t>p</w:t>
            </w:r>
            <w:r w:rsidR="0043260E" w:rsidRPr="00D0369F">
              <w:rPr>
                <w:rFonts w:ascii="Times New Roman" w:hAnsi="Times New Roman"/>
              </w:rPr>
              <w:t xml:space="preserve">owstanie </w:t>
            </w:r>
            <w:r w:rsidR="007D6929" w:rsidRPr="00D0369F">
              <w:rPr>
                <w:rFonts w:ascii="Times New Roman" w:hAnsi="Times New Roman"/>
              </w:rPr>
              <w:t>cyfrow</w:t>
            </w:r>
            <w:r w:rsidR="007D6929">
              <w:rPr>
                <w:rFonts w:ascii="Times New Roman" w:hAnsi="Times New Roman"/>
              </w:rPr>
              <w:t>ego</w:t>
            </w:r>
            <w:r w:rsidR="007D6929" w:rsidRPr="00D0369F">
              <w:rPr>
                <w:rFonts w:ascii="Times New Roman" w:hAnsi="Times New Roman"/>
              </w:rPr>
              <w:t xml:space="preserve"> </w:t>
            </w:r>
            <w:r w:rsidR="0043260E" w:rsidRPr="00D0369F">
              <w:rPr>
                <w:rFonts w:ascii="Times New Roman" w:hAnsi="Times New Roman"/>
              </w:rPr>
              <w:t>punkt</w:t>
            </w:r>
            <w:r w:rsidR="007D6929">
              <w:rPr>
                <w:rFonts w:ascii="Times New Roman" w:hAnsi="Times New Roman"/>
              </w:rPr>
              <w:t>u</w:t>
            </w:r>
            <w:r w:rsidR="0043260E" w:rsidRPr="00D0369F">
              <w:rPr>
                <w:rFonts w:ascii="Times New Roman" w:hAnsi="Times New Roman"/>
              </w:rPr>
              <w:t xml:space="preserve"> kontaktow</w:t>
            </w:r>
            <w:r w:rsidR="007D6929">
              <w:rPr>
                <w:rFonts w:ascii="Times New Roman" w:hAnsi="Times New Roman"/>
              </w:rPr>
              <w:t>ego</w:t>
            </w:r>
            <w:r w:rsidR="0043260E" w:rsidRPr="00D0369F">
              <w:rPr>
                <w:rFonts w:ascii="Times New Roman" w:hAnsi="Times New Roman"/>
              </w:rPr>
              <w:t xml:space="preserve"> przy Szwedzkiej Agencji Energii. Agencję w realizacji tego zadania wspierać będzie kilka innych instytucji</w:t>
            </w:r>
            <w:r>
              <w:rPr>
                <w:rFonts w:ascii="Times New Roman" w:hAnsi="Times New Roman"/>
              </w:rPr>
              <w:t>;</w:t>
            </w:r>
            <w:r w:rsidR="0043260E" w:rsidRPr="00D0369F">
              <w:rPr>
                <w:rFonts w:ascii="Times New Roman" w:hAnsi="Times New Roman"/>
              </w:rPr>
              <w:t xml:space="preserve"> </w:t>
            </w:r>
          </w:p>
          <w:p w14:paraId="5609C952" w14:textId="140BA9AD" w:rsidR="0043260E" w:rsidRPr="00D0369F" w:rsidRDefault="0043260E" w:rsidP="00526F3D">
            <w:pPr>
              <w:numPr>
                <w:ilvl w:val="0"/>
                <w:numId w:val="178"/>
              </w:numPr>
              <w:tabs>
                <w:tab w:val="clear" w:pos="720"/>
                <w:tab w:val="num" w:pos="360"/>
              </w:tabs>
              <w:spacing w:line="240" w:lineRule="auto"/>
              <w:jc w:val="both"/>
              <w:rPr>
                <w:rFonts w:ascii="Times New Roman" w:hAnsi="Times New Roman"/>
              </w:rPr>
            </w:pPr>
            <w:r w:rsidRPr="00D0369F">
              <w:rPr>
                <w:rFonts w:ascii="Times New Roman" w:hAnsi="Times New Roman"/>
              </w:rPr>
              <w:t>tylko jeden punkt kontaktowy</w:t>
            </w:r>
            <w:r w:rsidR="00933704">
              <w:rPr>
                <w:rFonts w:ascii="Times New Roman" w:hAnsi="Times New Roman"/>
              </w:rPr>
              <w:t xml:space="preserve"> OZE</w:t>
            </w:r>
            <w:r w:rsidR="00526F3D">
              <w:rPr>
                <w:rFonts w:ascii="Times New Roman" w:hAnsi="Times New Roman"/>
              </w:rPr>
              <w:t>;</w:t>
            </w:r>
          </w:p>
          <w:p w14:paraId="507D25EE" w14:textId="30D6A926" w:rsidR="0043260E" w:rsidRPr="00D0369F" w:rsidRDefault="0043260E" w:rsidP="00526F3D">
            <w:pPr>
              <w:numPr>
                <w:ilvl w:val="0"/>
                <w:numId w:val="178"/>
              </w:numPr>
              <w:tabs>
                <w:tab w:val="clear" w:pos="720"/>
                <w:tab w:val="num" w:pos="360"/>
              </w:tabs>
              <w:spacing w:line="240" w:lineRule="auto"/>
              <w:jc w:val="both"/>
              <w:rPr>
                <w:rFonts w:ascii="Times New Roman" w:hAnsi="Times New Roman"/>
              </w:rPr>
            </w:pPr>
            <w:r w:rsidRPr="00D0369F">
              <w:rPr>
                <w:rFonts w:ascii="Times New Roman" w:hAnsi="Times New Roman"/>
              </w:rPr>
              <w:t>zaangażowanie innych organów, które mają w swoich kompetencjach zarządz</w:t>
            </w:r>
            <w:r w:rsidR="007D6929">
              <w:rPr>
                <w:rFonts w:ascii="Times New Roman" w:hAnsi="Times New Roman"/>
              </w:rPr>
              <w:t>a</w:t>
            </w:r>
            <w:r w:rsidRPr="00D0369F">
              <w:rPr>
                <w:rFonts w:ascii="Times New Roman" w:hAnsi="Times New Roman"/>
              </w:rPr>
              <w:t>nie/gromadzenie informacji niezbędnych dla realizowania zadań przez cyfrowy punkt kontaktowy, które będą do niego zgodnie z ustawą przekazywane</w:t>
            </w:r>
            <w:r w:rsidR="00526F3D">
              <w:rPr>
                <w:rFonts w:ascii="Times New Roman" w:hAnsi="Times New Roman"/>
              </w:rPr>
              <w:t>;</w:t>
            </w:r>
          </w:p>
          <w:p w14:paraId="6C24FED0" w14:textId="3623E15C" w:rsidR="0043260E" w:rsidRPr="00D0369F" w:rsidRDefault="00526F3D" w:rsidP="00301C67">
            <w:pPr>
              <w:numPr>
                <w:ilvl w:val="0"/>
                <w:numId w:val="178"/>
              </w:numPr>
              <w:tabs>
                <w:tab w:val="clear" w:pos="720"/>
                <w:tab w:val="num" w:pos="360"/>
              </w:tabs>
              <w:spacing w:line="240" w:lineRule="auto"/>
              <w:jc w:val="both"/>
              <w:rPr>
                <w:rFonts w:ascii="Times New Roman" w:hAnsi="Times New Roman"/>
              </w:rPr>
            </w:pPr>
            <w:r>
              <w:rPr>
                <w:rFonts w:ascii="Times New Roman" w:hAnsi="Times New Roman"/>
              </w:rPr>
              <w:t>f</w:t>
            </w:r>
            <w:r w:rsidRPr="00D0369F">
              <w:rPr>
                <w:rFonts w:ascii="Times New Roman" w:hAnsi="Times New Roman"/>
              </w:rPr>
              <w:t xml:space="preserve">inansowanie </w:t>
            </w:r>
            <w:r w:rsidR="0043260E" w:rsidRPr="00D0369F">
              <w:rPr>
                <w:rFonts w:ascii="Times New Roman" w:hAnsi="Times New Roman"/>
              </w:rPr>
              <w:t>funkcjonowania punktu zapewnione będzie w ramach budżetu państwa - Szwedzka Agencja Energii uzyskała dodatkowe środki na ten cel w ramach ustawy budżetowej na 2021 r.</w:t>
            </w:r>
            <w:r w:rsidR="00AD7B1E">
              <w:rPr>
                <w:rFonts w:ascii="Times New Roman" w:hAnsi="Times New Roman"/>
              </w:rPr>
              <w:t xml:space="preserve"> </w:t>
            </w:r>
          </w:p>
          <w:p w14:paraId="42548785" w14:textId="77777777" w:rsidR="0043260E" w:rsidRPr="00603B1C" w:rsidRDefault="0043260E">
            <w:pPr>
              <w:spacing w:line="240" w:lineRule="auto"/>
              <w:jc w:val="both"/>
              <w:rPr>
                <w:rFonts w:ascii="Times New Roman" w:hAnsi="Times New Roman"/>
                <w:b/>
              </w:rPr>
            </w:pPr>
            <w:r w:rsidRPr="00603B1C">
              <w:rPr>
                <w:rFonts w:ascii="Times New Roman" w:hAnsi="Times New Roman"/>
                <w:b/>
              </w:rPr>
              <w:t>Dania</w:t>
            </w:r>
          </w:p>
          <w:p w14:paraId="3FDFD7BA" w14:textId="7777777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Przewiduje się, że przepisy dotyczące wdrożenia punktu kontaktowego wejdą w życie pod koniec czerwca 2021 r.</w:t>
            </w:r>
          </w:p>
          <w:p w14:paraId="0963CF51" w14:textId="661B7D0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Punkt osadzony będzie w istniejącej instytucji, Duńskiej Agencji Energii - agencji podległej duńskiemu Ministerstwu Klimatu, Energii i Dostaw</w:t>
            </w:r>
            <w:r w:rsidR="00E70716">
              <w:rPr>
                <w:rFonts w:ascii="Times New Roman" w:hAnsi="Times New Roman"/>
              </w:rPr>
              <w:t>.</w:t>
            </w:r>
            <w:r w:rsidRPr="00D0369F">
              <w:rPr>
                <w:rFonts w:ascii="Times New Roman" w:hAnsi="Times New Roman"/>
              </w:rPr>
              <w:t xml:space="preserve"> To tu umocowana będzie osoba odpowiedzialna za wyjaśnianie inwestorom całego procesu i przekierowywanie do innych odpowiednich instytucji. </w:t>
            </w:r>
          </w:p>
          <w:p w14:paraId="55151A9C" w14:textId="77777777" w:rsidR="0043260E" w:rsidRPr="00D0369F" w:rsidRDefault="0043260E">
            <w:pPr>
              <w:numPr>
                <w:ilvl w:val="0"/>
                <w:numId w:val="87"/>
              </w:numPr>
              <w:spacing w:line="240" w:lineRule="auto"/>
              <w:jc w:val="both"/>
              <w:rPr>
                <w:rFonts w:ascii="Times New Roman" w:hAnsi="Times New Roman"/>
              </w:rPr>
            </w:pPr>
            <w:r w:rsidRPr="00D0369F">
              <w:rPr>
                <w:rFonts w:ascii="Times New Roman" w:hAnsi="Times New Roman"/>
              </w:rPr>
              <w:t>Dania planuje uruchomić stronę internetową, gdzie znajdowałaby się całość informacji i skąd zainteresowane podmioty mogłyby być kierowane do odpowiednich instytucji – np. władz lokalnych. Strona stanowiłaby jednocześnie cyfrową platformę, poprzez którą można będzie składać odpowiednie wnioski o pozwolenia etc. Strona powstanie w ciągu najbliższych kilku miesięcy. Oznacza to, iż Dania planuje wdrożyć przepisy poprzez platformę internetową, informacje oraz w razie potrzeby przekierowanie przez punkt kontaktowy DEA do odpowiedniej instytucji. Zadaniem punktu kontaktowego będzie więc udzielanie informacji dot. całości procesu. Natomiast na bardzo szczegółowe pytania nie będzie odpowiadała DEA, ale organy właściwe dla danego procesu.</w:t>
            </w:r>
          </w:p>
          <w:p w14:paraId="25AAB7C1" w14:textId="01663D0B" w:rsidR="0043260E" w:rsidRPr="00D0369F" w:rsidRDefault="0043260E" w:rsidP="004B458B">
            <w:pPr>
              <w:numPr>
                <w:ilvl w:val="0"/>
                <w:numId w:val="87"/>
              </w:numPr>
              <w:spacing w:after="120" w:line="240" w:lineRule="auto"/>
              <w:jc w:val="both"/>
              <w:rPr>
                <w:rFonts w:ascii="Times New Roman" w:hAnsi="Times New Roman"/>
              </w:rPr>
            </w:pPr>
            <w:r w:rsidRPr="00D0369F">
              <w:rPr>
                <w:rFonts w:ascii="Times New Roman" w:hAnsi="Times New Roman"/>
              </w:rPr>
              <w:t>Zapewnienie finansowania KPK</w:t>
            </w:r>
            <w:r w:rsidR="00655047">
              <w:rPr>
                <w:rFonts w:ascii="Times New Roman" w:hAnsi="Times New Roman"/>
              </w:rPr>
              <w:t xml:space="preserve"> OZE</w:t>
            </w:r>
            <w:r w:rsidRPr="00D0369F">
              <w:rPr>
                <w:rFonts w:ascii="Times New Roman" w:hAnsi="Times New Roman"/>
              </w:rPr>
              <w:t xml:space="preserve"> będzie odbywać się ze środków publicznych, w ramach budżetu DEA</w:t>
            </w:r>
            <w:r w:rsidR="00C512DE">
              <w:rPr>
                <w:rFonts w:ascii="Times New Roman" w:hAnsi="Times New Roman"/>
              </w:rPr>
              <w:t>.</w:t>
            </w:r>
          </w:p>
          <w:p w14:paraId="4C31C254" w14:textId="77777777" w:rsidR="0043260E" w:rsidRPr="00603B1C" w:rsidRDefault="0043260E">
            <w:pPr>
              <w:spacing w:line="240" w:lineRule="auto"/>
              <w:jc w:val="both"/>
              <w:rPr>
                <w:rFonts w:ascii="Times New Roman" w:hAnsi="Times New Roman"/>
                <w:b/>
              </w:rPr>
            </w:pPr>
            <w:r w:rsidRPr="00603B1C">
              <w:rPr>
                <w:rFonts w:ascii="Times New Roman" w:hAnsi="Times New Roman"/>
                <w:b/>
              </w:rPr>
              <w:t>Finlandia</w:t>
            </w:r>
          </w:p>
          <w:p w14:paraId="2BF8F093" w14:textId="524A9681"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 xml:space="preserve">Elektronicznym punktem kontaktowym zarządza jeden organ punktu kontaktowego, którym jest Centrum Rozwoju Gospodarczego, Transportu i Środowiska dla </w:t>
            </w:r>
            <w:proofErr w:type="spellStart"/>
            <w:r w:rsidRPr="00D0369F">
              <w:rPr>
                <w:rFonts w:ascii="Times New Roman" w:hAnsi="Times New Roman"/>
              </w:rPr>
              <w:t>Ostrobotni</w:t>
            </w:r>
            <w:proofErr w:type="spellEnd"/>
            <w:r w:rsidRPr="00D0369F">
              <w:rPr>
                <w:rFonts w:ascii="Times New Roman" w:hAnsi="Times New Roman"/>
              </w:rPr>
              <w:t xml:space="preserve"> Południowej (Centrum ELY). Centra ELY należą do wydziału administracyjnego Ministerstwa Gospodarki i Zatrudnienia</w:t>
            </w:r>
            <w:r w:rsidR="00526F3D">
              <w:rPr>
                <w:rFonts w:ascii="Times New Roman" w:hAnsi="Times New Roman"/>
              </w:rPr>
              <w:t>.</w:t>
            </w:r>
          </w:p>
          <w:p w14:paraId="08320C00" w14:textId="77777777"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 xml:space="preserve">Centrum ELY jest również zobowiązane do udzielania wnioskodawcom porad w kwestiach proceduralnych (np. Dotyczących wszczęcia sprawy i etap postępowania) oraz udzielenia wnioskodawcom wytycznych dotyczących załatwienia sprawy administracyjnej we współpracy z właściwym organem za pośrednictwem elektronicznego punktu kontaktowego. </w:t>
            </w:r>
          </w:p>
          <w:p w14:paraId="03031241" w14:textId="77777777" w:rsidR="0043260E" w:rsidRPr="00D0369F" w:rsidRDefault="0043260E">
            <w:pPr>
              <w:numPr>
                <w:ilvl w:val="0"/>
                <w:numId w:val="88"/>
              </w:numPr>
              <w:spacing w:line="240" w:lineRule="auto"/>
              <w:jc w:val="both"/>
              <w:rPr>
                <w:rFonts w:ascii="Times New Roman" w:hAnsi="Times New Roman"/>
              </w:rPr>
            </w:pPr>
            <w:r w:rsidRPr="00D0369F">
              <w:rPr>
                <w:rFonts w:ascii="Times New Roman" w:hAnsi="Times New Roman"/>
              </w:rPr>
              <w:t>W przyszłości wnioskodawca będzie mógł ubiegać się za pośrednictwem jednego elektronicznego punktu kontaktowego o pozwolenia i inne zezwolenia administracyjne wymienione w ustawie na budowę i naprawę elektrowni, w celu podłączenia instalacji do sieci oraz do zezwoleń administracyjnych wymienionych w ustawie na budowę i naprawę elektrowni, na przyłączenie instalacji do sieci i na jej eksploatację.</w:t>
            </w:r>
          </w:p>
          <w:p w14:paraId="27DFE835" w14:textId="127CAA02" w:rsidR="0043260E" w:rsidRPr="00D0369F" w:rsidRDefault="0043260E" w:rsidP="00301C67">
            <w:pPr>
              <w:numPr>
                <w:ilvl w:val="0"/>
                <w:numId w:val="88"/>
              </w:numPr>
              <w:spacing w:after="120" w:line="240" w:lineRule="auto"/>
              <w:jc w:val="both"/>
              <w:rPr>
                <w:rFonts w:ascii="Times New Roman" w:hAnsi="Times New Roman"/>
              </w:rPr>
            </w:pPr>
            <w:r w:rsidRPr="00D0369F">
              <w:rPr>
                <w:rFonts w:ascii="Times New Roman" w:hAnsi="Times New Roman"/>
              </w:rPr>
              <w:t xml:space="preserve">Centrum ELY jest zobowiązane do monitorowania terminów realizacji właściwych postępowań określonych </w:t>
            </w:r>
            <w:r w:rsidRPr="00D0369F">
              <w:rPr>
                <w:rFonts w:ascii="Times New Roman" w:hAnsi="Times New Roman"/>
              </w:rPr>
              <w:br/>
              <w:t>w ustawie</w:t>
            </w:r>
            <w:r w:rsidR="00526F3D">
              <w:rPr>
                <w:rFonts w:ascii="Times New Roman" w:hAnsi="Times New Roman"/>
              </w:rPr>
              <w:t>.</w:t>
            </w:r>
          </w:p>
          <w:p w14:paraId="7C53D284" w14:textId="34F1B7AF" w:rsidR="00C81650" w:rsidRPr="001551A5" w:rsidRDefault="002D3E37">
            <w:pPr>
              <w:spacing w:line="240" w:lineRule="auto"/>
              <w:jc w:val="both"/>
              <w:rPr>
                <w:rFonts w:ascii="Times New Roman" w:hAnsi="Times New Roman"/>
                <w:b/>
                <w:bCs/>
                <w:u w:val="single"/>
              </w:rPr>
            </w:pPr>
            <w:r>
              <w:rPr>
                <w:rFonts w:ascii="Times New Roman" w:hAnsi="Times New Roman"/>
                <w:b/>
                <w:bCs/>
                <w:u w:val="single"/>
              </w:rPr>
              <w:t>III.</w:t>
            </w:r>
            <w:r w:rsidR="005B13D8">
              <w:rPr>
                <w:rFonts w:ascii="Times New Roman" w:hAnsi="Times New Roman"/>
                <w:b/>
                <w:bCs/>
                <w:u w:val="single"/>
              </w:rPr>
              <w:t xml:space="preserve">4. </w:t>
            </w:r>
            <w:r w:rsidR="00C81650" w:rsidRPr="001551A5">
              <w:rPr>
                <w:rFonts w:ascii="Times New Roman" w:hAnsi="Times New Roman"/>
                <w:b/>
                <w:bCs/>
                <w:u w:val="single"/>
              </w:rPr>
              <w:t>Uproszczenie procedur administracyjnych</w:t>
            </w:r>
          </w:p>
          <w:p w14:paraId="36C00A70" w14:textId="25EEDA22" w:rsidR="00C81650" w:rsidRPr="00FB7C95" w:rsidRDefault="00C81650" w:rsidP="000D3F79">
            <w:pPr>
              <w:spacing w:after="120" w:line="240" w:lineRule="auto"/>
              <w:jc w:val="both"/>
              <w:rPr>
                <w:rFonts w:ascii="Times New Roman" w:hAnsi="Times New Roman"/>
                <w:color w:val="000000"/>
                <w:spacing w:val="-2"/>
              </w:rPr>
            </w:pPr>
            <w:r w:rsidRPr="00FB7C95">
              <w:rPr>
                <w:rFonts w:ascii="Times New Roman" w:hAnsi="Times New Roman"/>
                <w:color w:val="000000"/>
                <w:spacing w:val="-2"/>
              </w:rPr>
              <w:lastRenderedPageBreak/>
              <w:t>Odnośnie do projektowanych zmian przepisów dotyczących zmiany procedur administracyjnych należy zauważyć, że prawne uwarunkowania krajowe w dużej mierze zdeterminowane są przez czynniki historyczne – trudne do przeniesienia na grunt innego państwa. Co więcej, system</w:t>
            </w:r>
            <w:r w:rsidR="00E70716">
              <w:rPr>
                <w:rFonts w:ascii="Times New Roman" w:hAnsi="Times New Roman"/>
                <w:color w:val="000000"/>
                <w:spacing w:val="-2"/>
              </w:rPr>
              <w:t>y</w:t>
            </w:r>
            <w:r w:rsidRPr="00FB7C95">
              <w:rPr>
                <w:rFonts w:ascii="Times New Roman" w:hAnsi="Times New Roman"/>
                <w:color w:val="000000"/>
                <w:spacing w:val="-2"/>
              </w:rPr>
              <w:t xml:space="preserve"> prawne, podział administracyjny kraju a co za tym idzie podział kompetencji pomiędzy różne organy są elementem zdecydowanie specyficznym dla każdego państwa i nie znajdują zastosowania w warunkach odmiennych. </w:t>
            </w:r>
          </w:p>
          <w:p w14:paraId="005D4787" w14:textId="74B53F8D" w:rsidR="00C81650" w:rsidRPr="00941DDC" w:rsidRDefault="00C81650" w:rsidP="000D3F79">
            <w:pPr>
              <w:spacing w:after="120" w:line="240" w:lineRule="auto"/>
              <w:jc w:val="both"/>
              <w:rPr>
                <w:rFonts w:ascii="Times New Roman" w:hAnsi="Times New Roman"/>
                <w:color w:val="000000"/>
                <w:spacing w:val="-2"/>
              </w:rPr>
            </w:pPr>
            <w:r w:rsidRPr="00FB7C95">
              <w:rPr>
                <w:rFonts w:ascii="Times New Roman" w:hAnsi="Times New Roman"/>
                <w:color w:val="000000"/>
                <w:spacing w:val="-2"/>
              </w:rPr>
              <w:t xml:space="preserve">Co więcej, z uwagi na powyższe uwarunkowania, a także różne otoczenie prawne, wnioski płynące z analiz porównawczych w tym zakresie, </w:t>
            </w:r>
            <w:r w:rsidRPr="00235F31">
              <w:rPr>
                <w:rFonts w:ascii="Times New Roman" w:hAnsi="Times New Roman"/>
                <w:color w:val="000000"/>
                <w:spacing w:val="-2"/>
              </w:rPr>
              <w:t>nie mogłyby być w prosty sposób przeniesione na grunt krajowy.</w:t>
            </w:r>
            <w:r w:rsidRPr="00CB6D27">
              <w:rPr>
                <w:rFonts w:ascii="Times New Roman" w:hAnsi="Times New Roman"/>
                <w:color w:val="000000"/>
                <w:spacing w:val="-2"/>
              </w:rPr>
              <w:t xml:space="preserve"> Wobec powyższego, wyniki analiz porównawczych posiadałyby ograniczony po</w:t>
            </w:r>
            <w:r w:rsidRPr="00941DDC">
              <w:rPr>
                <w:rFonts w:ascii="Times New Roman" w:hAnsi="Times New Roman"/>
                <w:color w:val="000000"/>
                <w:spacing w:val="-2"/>
              </w:rPr>
              <w:t>tencjał do wykorzystania, stąd ich szczegółowe wskazywanie w tym dokumencie nie jest rekomendowane.</w:t>
            </w:r>
          </w:p>
          <w:p w14:paraId="055C05A8" w14:textId="77777777" w:rsidR="005B13D8" w:rsidRPr="00D12317" w:rsidRDefault="005B13D8" w:rsidP="005B13D8">
            <w:pPr>
              <w:spacing w:line="240" w:lineRule="auto"/>
              <w:jc w:val="both"/>
              <w:rPr>
                <w:rFonts w:ascii="Times New Roman" w:hAnsi="Times New Roman"/>
                <w:b/>
                <w:u w:val="single"/>
              </w:rPr>
            </w:pPr>
            <w:r>
              <w:rPr>
                <w:rFonts w:ascii="Times New Roman" w:hAnsi="Times New Roman"/>
                <w:b/>
                <w:u w:val="single"/>
              </w:rPr>
              <w:t>III.5. Peer-to-</w:t>
            </w:r>
            <w:proofErr w:type="spellStart"/>
            <w:r>
              <w:rPr>
                <w:rFonts w:ascii="Times New Roman" w:hAnsi="Times New Roman"/>
                <w:b/>
                <w:u w:val="single"/>
              </w:rPr>
              <w:t>peer</w:t>
            </w:r>
            <w:proofErr w:type="spellEnd"/>
            <w:r>
              <w:rPr>
                <w:rFonts w:ascii="Times New Roman" w:hAnsi="Times New Roman"/>
                <w:b/>
                <w:u w:val="single"/>
              </w:rPr>
              <w:t xml:space="preserve"> handel </w:t>
            </w:r>
            <w:r w:rsidRPr="00D12317">
              <w:rPr>
                <w:rFonts w:ascii="Times New Roman" w:hAnsi="Times New Roman"/>
                <w:b/>
                <w:u w:val="single"/>
              </w:rPr>
              <w:t>bezpośredni przez prosumentów</w:t>
            </w:r>
            <w:r>
              <w:rPr>
                <w:rFonts w:ascii="Times New Roman" w:hAnsi="Times New Roman"/>
                <w:b/>
                <w:u w:val="single"/>
              </w:rPr>
              <w:t xml:space="preserve"> </w:t>
            </w:r>
          </w:p>
          <w:p w14:paraId="36519F13" w14:textId="77777777" w:rsidR="005B13D8" w:rsidRPr="000D3F79" w:rsidRDefault="005B13D8" w:rsidP="005B13D8">
            <w:pPr>
              <w:spacing w:after="120" w:line="240" w:lineRule="auto"/>
              <w:jc w:val="both"/>
              <w:rPr>
                <w:rFonts w:ascii="Times New Roman" w:hAnsi="Times New Roman"/>
                <w:bCs/>
              </w:rPr>
            </w:pPr>
            <w:r w:rsidRPr="000D3F79">
              <w:rPr>
                <w:rFonts w:ascii="Times New Roman" w:hAnsi="Times New Roman"/>
                <w:bCs/>
              </w:rPr>
              <w:t xml:space="preserve">Handel energią typu P2P obsługiwany jest przez krajowe lub regionalne platformy internetowe obsługujące P2P. Rola platformy zbliżona jest do </w:t>
            </w:r>
            <w:r>
              <w:rPr>
                <w:rFonts w:ascii="Times New Roman" w:hAnsi="Times New Roman"/>
                <w:bCs/>
              </w:rPr>
              <w:t>r</w:t>
            </w:r>
            <w:r w:rsidRPr="000D3F79">
              <w:rPr>
                <w:rFonts w:ascii="Times New Roman" w:hAnsi="Times New Roman"/>
                <w:bCs/>
              </w:rPr>
              <w:t xml:space="preserve">oli sprzedawcy w sektorze energii elektrycznej. </w:t>
            </w:r>
          </w:p>
          <w:p w14:paraId="745079B6" w14:textId="0A4CD0BE" w:rsidR="005B13D8" w:rsidRPr="000D3F79" w:rsidRDefault="005B13D8" w:rsidP="005B13D8">
            <w:pPr>
              <w:spacing w:line="240" w:lineRule="auto"/>
              <w:jc w:val="both"/>
              <w:rPr>
                <w:rFonts w:ascii="Times New Roman" w:hAnsi="Times New Roman"/>
                <w:bCs/>
              </w:rPr>
            </w:pPr>
            <w:r w:rsidRPr="000D3F79">
              <w:rPr>
                <w:rFonts w:ascii="Times New Roman" w:hAnsi="Times New Roman"/>
                <w:bCs/>
              </w:rPr>
              <w:t>Przykłady:</w:t>
            </w:r>
          </w:p>
          <w:p w14:paraId="0BDE07ED" w14:textId="67BB5602" w:rsidR="00715CFE" w:rsidRDefault="00715CFE" w:rsidP="005B13D8">
            <w:pPr>
              <w:pStyle w:val="Akapitzlist"/>
              <w:numPr>
                <w:ilvl w:val="0"/>
                <w:numId w:val="145"/>
              </w:numPr>
              <w:spacing w:line="240" w:lineRule="auto"/>
              <w:ind w:left="350"/>
              <w:jc w:val="both"/>
              <w:rPr>
                <w:rFonts w:ascii="Times New Roman" w:hAnsi="Times New Roman"/>
                <w:bCs/>
              </w:rPr>
            </w:pPr>
            <w:r>
              <w:rPr>
                <w:rFonts w:ascii="Times New Roman" w:hAnsi="Times New Roman"/>
                <w:bCs/>
              </w:rPr>
              <w:t>J</w:t>
            </w:r>
            <w:r w:rsidRPr="00715CFE">
              <w:rPr>
                <w:rFonts w:ascii="Times New Roman" w:hAnsi="Times New Roman"/>
                <w:bCs/>
              </w:rPr>
              <w:t xml:space="preserve">ednym z pierwszych państw w UE, które częściowo wdrożyły </w:t>
            </w:r>
            <w:r>
              <w:rPr>
                <w:rFonts w:ascii="Times New Roman" w:hAnsi="Times New Roman"/>
                <w:bCs/>
              </w:rPr>
              <w:t>art.</w:t>
            </w:r>
            <w:r w:rsidRPr="00715CFE">
              <w:rPr>
                <w:rFonts w:ascii="Times New Roman" w:hAnsi="Times New Roman"/>
                <w:bCs/>
              </w:rPr>
              <w:t xml:space="preserve"> 21 dyrektywy RED II dot. prosumentów</w:t>
            </w:r>
            <w:r>
              <w:rPr>
                <w:rFonts w:ascii="Times New Roman" w:hAnsi="Times New Roman"/>
                <w:bCs/>
              </w:rPr>
              <w:t xml:space="preserve"> była Hiszpania. </w:t>
            </w:r>
            <w:r w:rsidRPr="00715CFE">
              <w:rPr>
                <w:rFonts w:ascii="Times New Roman" w:hAnsi="Times New Roman"/>
                <w:bCs/>
              </w:rPr>
              <w:t xml:space="preserve">Przepisy zezwalają na tzw. wspólny pobór własny (wspólną </w:t>
            </w:r>
            <w:proofErr w:type="spellStart"/>
            <w:r w:rsidRPr="00715CFE">
              <w:rPr>
                <w:rFonts w:ascii="Times New Roman" w:hAnsi="Times New Roman"/>
                <w:bCs/>
              </w:rPr>
              <w:t>autokonsumpcję</w:t>
            </w:r>
            <w:proofErr w:type="spellEnd"/>
            <w:r w:rsidRPr="00715CFE">
              <w:rPr>
                <w:rFonts w:ascii="Times New Roman" w:hAnsi="Times New Roman"/>
                <w:bCs/>
              </w:rPr>
              <w:t xml:space="preserve"> energii), w przypadku gdy więcej niż jeden konsument jest powiązany z tym samym zakładem energetycznym, pod warunkiem że połączenie między pomiędzy zakładem energetycznym a punktem poboru następuje poprzez: a) sieć wewnętrzną (domową) lub linię bezpośrednią; b) sieć niskiego napięcia wyprowadzoną z tej samej stacji transformatorowej; c) obiekty i podstacja są oddalone od siebie o mniej niż 500 m lub d) znajdują się w tym samym rejestrze nieruchomości wg pierwszych 14 cyfr.</w:t>
            </w:r>
            <w:r>
              <w:rPr>
                <w:rFonts w:ascii="Times New Roman" w:hAnsi="Times New Roman"/>
                <w:bCs/>
              </w:rPr>
              <w:t xml:space="preserve"> </w:t>
            </w:r>
            <w:r w:rsidRPr="00715CFE">
              <w:rPr>
                <w:rFonts w:ascii="Times New Roman" w:hAnsi="Times New Roman"/>
                <w:bCs/>
              </w:rPr>
              <w:t>W projektach zbiorowego zużycia własnego energii odnawialnej produkcja z jednej instalacji jest dzielona pomiędzy powiązanych odbiorców/prosumentów według ustalonego przez nich współczynnika i przekazywanego do spółki dystrybucyjnej</w:t>
            </w:r>
            <w:r>
              <w:rPr>
                <w:rFonts w:ascii="Times New Roman" w:hAnsi="Times New Roman"/>
                <w:bCs/>
              </w:rPr>
              <w:t xml:space="preserve"> </w:t>
            </w:r>
            <w:r w:rsidRPr="00715CFE">
              <w:rPr>
                <w:rFonts w:ascii="Times New Roman" w:hAnsi="Times New Roman"/>
                <w:bCs/>
              </w:rPr>
              <w:t>odpowiedzialnej za odczyty energii. Zwykle wskaźnik ten będzie równy każdej inwestycji klienta w obiekt, ale nie jest to regułą. Jedyną zasadą jest to, że wskaźniki muszą sumować się w 100%</w:t>
            </w:r>
            <w:r>
              <w:rPr>
                <w:rFonts w:ascii="Times New Roman" w:hAnsi="Times New Roman"/>
                <w:bCs/>
              </w:rPr>
              <w:t xml:space="preserve">. </w:t>
            </w:r>
            <w:r w:rsidRPr="00715CFE">
              <w:rPr>
                <w:rFonts w:ascii="Times New Roman" w:hAnsi="Times New Roman"/>
                <w:bCs/>
              </w:rPr>
              <w:t>Operator sieci dystrybucyjnej zbiera odczyty z instalacji i co godzinę przydziela część produkcji należącą do każdego klienta/prosumenta i dokonuje bilansu godzinowego między zużyciem a produkcją. Wprowadzenie tego rozwiązania było możliwe dzięki wprowadzeniu inteligentnych liczników energii</w:t>
            </w:r>
            <w:r>
              <w:rPr>
                <w:rFonts w:ascii="Times New Roman" w:hAnsi="Times New Roman"/>
                <w:bCs/>
              </w:rPr>
              <w:t>.</w:t>
            </w:r>
          </w:p>
          <w:p w14:paraId="1086CDF3" w14:textId="4A2867C7" w:rsidR="00715CFE" w:rsidRDefault="00715CFE" w:rsidP="005B13D8">
            <w:pPr>
              <w:pStyle w:val="Akapitzlist"/>
              <w:numPr>
                <w:ilvl w:val="0"/>
                <w:numId w:val="145"/>
              </w:numPr>
              <w:spacing w:line="240" w:lineRule="auto"/>
              <w:ind w:left="350"/>
              <w:jc w:val="both"/>
              <w:rPr>
                <w:rFonts w:ascii="Times New Roman" w:hAnsi="Times New Roman"/>
                <w:bCs/>
              </w:rPr>
            </w:pPr>
            <w:r>
              <w:rPr>
                <w:rFonts w:ascii="Times New Roman" w:hAnsi="Times New Roman"/>
                <w:bCs/>
              </w:rPr>
              <w:t>Największą na świecie</w:t>
            </w:r>
            <w:r>
              <w:t xml:space="preserve"> </w:t>
            </w:r>
            <w:r w:rsidRPr="00715CFE">
              <w:rPr>
                <w:rFonts w:ascii="Times New Roman" w:hAnsi="Times New Roman"/>
                <w:bCs/>
              </w:rPr>
              <w:t>platformę współdzielenia energii elektrycznej</w:t>
            </w:r>
            <w:r>
              <w:rPr>
                <w:rFonts w:ascii="Times New Roman" w:hAnsi="Times New Roman"/>
                <w:bCs/>
              </w:rPr>
              <w:t xml:space="preserve"> stworzyła niemiecka firma </w:t>
            </w:r>
            <w:proofErr w:type="spellStart"/>
            <w:r>
              <w:rPr>
                <w:rFonts w:ascii="Times New Roman" w:hAnsi="Times New Roman"/>
                <w:bCs/>
              </w:rPr>
              <w:t>Sonnen</w:t>
            </w:r>
            <w:proofErr w:type="spellEnd"/>
            <w:r>
              <w:rPr>
                <w:rFonts w:ascii="Times New Roman" w:hAnsi="Times New Roman"/>
                <w:bCs/>
              </w:rPr>
              <w:t xml:space="preserve">. </w:t>
            </w:r>
            <w:r w:rsidRPr="00715CFE">
              <w:rPr>
                <w:rFonts w:ascii="Times New Roman" w:hAnsi="Times New Roman"/>
                <w:bCs/>
              </w:rPr>
              <w:t xml:space="preserve">Platforma społecznościowa </w:t>
            </w:r>
            <w:proofErr w:type="spellStart"/>
            <w:r w:rsidRPr="00715CFE">
              <w:rPr>
                <w:rFonts w:ascii="Times New Roman" w:hAnsi="Times New Roman"/>
                <w:bCs/>
              </w:rPr>
              <w:t>sonnenCommunity</w:t>
            </w:r>
            <w:proofErr w:type="spellEnd"/>
            <w:r w:rsidRPr="00715CFE">
              <w:rPr>
                <w:rFonts w:ascii="Times New Roman" w:hAnsi="Times New Roman"/>
                <w:bCs/>
              </w:rPr>
              <w:t xml:space="preserve"> umożliwia wszystkim członkom dzielenie się energią elektryczną, którą sami wyprodukowali. Wszyscy właściciele baterii </w:t>
            </w:r>
            <w:proofErr w:type="spellStart"/>
            <w:r w:rsidRPr="00715CFE">
              <w:rPr>
                <w:rFonts w:ascii="Times New Roman" w:hAnsi="Times New Roman"/>
                <w:bCs/>
              </w:rPr>
              <w:t>sonnenBaterie</w:t>
            </w:r>
            <w:proofErr w:type="spellEnd"/>
            <w:r w:rsidRPr="00715CFE">
              <w:rPr>
                <w:rFonts w:ascii="Times New Roman" w:hAnsi="Times New Roman"/>
                <w:bCs/>
              </w:rPr>
              <w:t xml:space="preserve"> są wirtualnie za pomocą sieci połączeni ze sobą w </w:t>
            </w:r>
            <w:proofErr w:type="spellStart"/>
            <w:r w:rsidRPr="00715CFE">
              <w:rPr>
                <w:rFonts w:ascii="Times New Roman" w:hAnsi="Times New Roman"/>
                <w:bCs/>
              </w:rPr>
              <w:t>sonnenCommunity</w:t>
            </w:r>
            <w:proofErr w:type="spellEnd"/>
            <w:r w:rsidRPr="00715CFE">
              <w:rPr>
                <w:rFonts w:ascii="Times New Roman" w:hAnsi="Times New Roman"/>
                <w:bCs/>
              </w:rPr>
              <w:t xml:space="preserve"> i mogą – w zależności od wymagań i warunków pogodowych – dostarczać nadmiar energii elektrycznej do społeczności lub uzyskiwać od niej potrzebną energię elektryczną.</w:t>
            </w:r>
            <w:r>
              <w:rPr>
                <w:rFonts w:ascii="Times New Roman" w:hAnsi="Times New Roman"/>
                <w:bCs/>
              </w:rPr>
              <w:t xml:space="preserve"> Jeże</w:t>
            </w:r>
            <w:r w:rsidRPr="00715CFE">
              <w:rPr>
                <w:rFonts w:ascii="Times New Roman" w:hAnsi="Times New Roman"/>
                <w:bCs/>
              </w:rPr>
              <w:t xml:space="preserve">li zapotrzebowanie energetyczne członka wspólnoty w jednym miejscu przekracza jego własne rezerwy energii słonecznej, </w:t>
            </w:r>
            <w:proofErr w:type="spellStart"/>
            <w:r w:rsidRPr="00715CFE">
              <w:rPr>
                <w:rFonts w:ascii="Times New Roman" w:hAnsi="Times New Roman"/>
                <w:bCs/>
              </w:rPr>
              <w:t>sonnenCommunity</w:t>
            </w:r>
            <w:proofErr w:type="spellEnd"/>
            <w:r w:rsidRPr="00715CFE">
              <w:rPr>
                <w:rFonts w:ascii="Times New Roman" w:hAnsi="Times New Roman"/>
                <w:bCs/>
              </w:rPr>
              <w:t xml:space="preserve"> automatycznie pomaga mu dostarczając nadwyżką energii od innego członka wspólnoty, pr</w:t>
            </w:r>
            <w:r>
              <w:rPr>
                <w:rFonts w:ascii="Times New Roman" w:hAnsi="Times New Roman"/>
                <w:bCs/>
              </w:rPr>
              <w:t>z</w:t>
            </w:r>
            <w:r w:rsidRPr="00715CFE">
              <w:rPr>
                <w:rFonts w:ascii="Times New Roman" w:hAnsi="Times New Roman"/>
                <w:bCs/>
              </w:rPr>
              <w:t xml:space="preserve">y tym wykorzystywany jest tylko nadmiar energii, który nie może być przechowywany w </w:t>
            </w:r>
            <w:proofErr w:type="spellStart"/>
            <w:r w:rsidRPr="00715CFE">
              <w:rPr>
                <w:rFonts w:ascii="Times New Roman" w:hAnsi="Times New Roman"/>
                <w:bCs/>
              </w:rPr>
              <w:t>sonnenBatterie</w:t>
            </w:r>
            <w:proofErr w:type="spellEnd"/>
            <w:r w:rsidRPr="00715CFE">
              <w:rPr>
                <w:rFonts w:ascii="Times New Roman" w:hAnsi="Times New Roman"/>
                <w:bCs/>
              </w:rPr>
              <w:t>.</w:t>
            </w:r>
            <w:r>
              <w:rPr>
                <w:rFonts w:ascii="Times New Roman" w:hAnsi="Times New Roman"/>
                <w:bCs/>
              </w:rPr>
              <w:t xml:space="preserve"> </w:t>
            </w:r>
            <w:r w:rsidR="000F5E6C">
              <w:rPr>
                <w:rFonts w:ascii="Times New Roman" w:hAnsi="Times New Roman"/>
                <w:bCs/>
              </w:rPr>
              <w:t>C</w:t>
            </w:r>
            <w:r w:rsidRPr="00715CFE">
              <w:rPr>
                <w:rFonts w:ascii="Times New Roman" w:hAnsi="Times New Roman"/>
                <w:bCs/>
              </w:rPr>
              <w:t>entralne oprogramowanie przez cały czas rozpoznaje ilość produkowanej i zużywanej energii elektrycznej. Pozwala to utrzymać równowagę podaży i popytu oraz zapewniać, że wystarczająca ilość energii</w:t>
            </w:r>
            <w:r w:rsidR="000F5E6C">
              <w:rPr>
                <w:rFonts w:ascii="Times New Roman" w:hAnsi="Times New Roman"/>
                <w:bCs/>
              </w:rPr>
              <w:t xml:space="preserve"> jest zawsze dostępna</w:t>
            </w:r>
            <w:r w:rsidRPr="00715CFE">
              <w:rPr>
                <w:rFonts w:ascii="Times New Roman" w:hAnsi="Times New Roman"/>
                <w:bCs/>
              </w:rPr>
              <w:t xml:space="preserve">. </w:t>
            </w:r>
            <w:proofErr w:type="spellStart"/>
            <w:r w:rsidRPr="00715CFE">
              <w:rPr>
                <w:rFonts w:ascii="Times New Roman" w:hAnsi="Times New Roman"/>
                <w:bCs/>
              </w:rPr>
              <w:t>SonnenCommunity</w:t>
            </w:r>
            <w:proofErr w:type="spellEnd"/>
            <w:r w:rsidRPr="00715CFE">
              <w:rPr>
                <w:rFonts w:ascii="Times New Roman" w:hAnsi="Times New Roman"/>
                <w:bCs/>
              </w:rPr>
              <w:t xml:space="preserve"> całkowicie zastępuje dotychczasowego dostawcę energii elektrycznej i czyni swoich członków w 100% niezależnymi.</w:t>
            </w:r>
            <w:r w:rsidR="000F5E6C">
              <w:t xml:space="preserve"> </w:t>
            </w:r>
            <w:r w:rsidR="000F5E6C">
              <w:rPr>
                <w:rFonts w:ascii="Times New Roman" w:hAnsi="Times New Roman"/>
                <w:bCs/>
              </w:rPr>
              <w:t>U</w:t>
            </w:r>
            <w:r w:rsidR="000F5E6C" w:rsidRPr="000F5E6C">
              <w:rPr>
                <w:rFonts w:ascii="Times New Roman" w:hAnsi="Times New Roman"/>
                <w:bCs/>
              </w:rPr>
              <w:t xml:space="preserve">rządzenia do wytwarzania energii elektrycznej należące do członków </w:t>
            </w:r>
            <w:proofErr w:type="spellStart"/>
            <w:r w:rsidR="000F5E6C" w:rsidRPr="000F5E6C">
              <w:rPr>
                <w:rFonts w:ascii="Times New Roman" w:hAnsi="Times New Roman"/>
                <w:bCs/>
              </w:rPr>
              <w:t>sonnenCommunity</w:t>
            </w:r>
            <w:proofErr w:type="spellEnd"/>
            <w:r w:rsidR="000F5E6C" w:rsidRPr="000F5E6C">
              <w:rPr>
                <w:rFonts w:ascii="Times New Roman" w:hAnsi="Times New Roman"/>
                <w:bCs/>
              </w:rPr>
              <w:t>, tworzą system i dzięki temu mogą być rozliczany jak duża elektrownia systemowa</w:t>
            </w:r>
            <w:r w:rsidR="000F5E6C">
              <w:rPr>
                <w:rFonts w:ascii="Times New Roman" w:hAnsi="Times New Roman"/>
                <w:bCs/>
              </w:rPr>
              <w:t xml:space="preserve">. </w:t>
            </w:r>
            <w:r w:rsidR="000F5E6C" w:rsidRPr="000F5E6C">
              <w:rPr>
                <w:rFonts w:ascii="Times New Roman" w:hAnsi="Times New Roman"/>
                <w:bCs/>
              </w:rPr>
              <w:t>Ponadto</w:t>
            </w:r>
            <w:r w:rsidR="0038470F">
              <w:rPr>
                <w:rFonts w:ascii="Times New Roman" w:hAnsi="Times New Roman"/>
                <w:bCs/>
              </w:rPr>
              <w:t>,</w:t>
            </w:r>
            <w:r w:rsidR="000F5E6C" w:rsidRPr="000F5E6C">
              <w:rPr>
                <w:rFonts w:ascii="Times New Roman" w:hAnsi="Times New Roman"/>
                <w:bCs/>
              </w:rPr>
              <w:t xml:space="preserve"> wszyscy członkowie </w:t>
            </w:r>
            <w:proofErr w:type="spellStart"/>
            <w:r w:rsidR="000F5E6C" w:rsidRPr="000F5E6C">
              <w:rPr>
                <w:rFonts w:ascii="Times New Roman" w:hAnsi="Times New Roman"/>
                <w:bCs/>
              </w:rPr>
              <w:t>sonnenCommunity</w:t>
            </w:r>
            <w:proofErr w:type="spellEnd"/>
            <w:r w:rsidR="000F5E6C" w:rsidRPr="000F5E6C">
              <w:rPr>
                <w:rFonts w:ascii="Times New Roman" w:hAnsi="Times New Roman"/>
                <w:bCs/>
              </w:rPr>
              <w:t xml:space="preserve">, którzy udostępniają swoje </w:t>
            </w:r>
            <w:proofErr w:type="spellStart"/>
            <w:r w:rsidR="000F5E6C" w:rsidRPr="000F5E6C">
              <w:rPr>
                <w:rFonts w:ascii="Times New Roman" w:hAnsi="Times New Roman"/>
                <w:bCs/>
              </w:rPr>
              <w:t>sonnenBatterien</w:t>
            </w:r>
            <w:proofErr w:type="spellEnd"/>
            <w:r w:rsidR="000F5E6C" w:rsidRPr="000F5E6C">
              <w:rPr>
                <w:rFonts w:ascii="Times New Roman" w:hAnsi="Times New Roman"/>
                <w:bCs/>
              </w:rPr>
              <w:t xml:space="preserve"> na rzecz publicznej sieci elektroenergetycznej jako krótkoterminowe magazynowanie pośrednie, otrzymują stałą energię elektryczną w zamian za 0 Euro na pokrycie własnych potrzeb.</w:t>
            </w:r>
          </w:p>
          <w:p w14:paraId="4E5A24D7" w14:textId="39FC5BC8" w:rsidR="005B13D8" w:rsidRPr="000D3F79" w:rsidRDefault="005B13D8" w:rsidP="005B13D8">
            <w:pPr>
              <w:pStyle w:val="Akapitzlist"/>
              <w:numPr>
                <w:ilvl w:val="0"/>
                <w:numId w:val="145"/>
              </w:numPr>
              <w:spacing w:line="240" w:lineRule="auto"/>
              <w:ind w:left="350"/>
              <w:jc w:val="both"/>
              <w:rPr>
                <w:rFonts w:ascii="Times New Roman" w:hAnsi="Times New Roman"/>
                <w:bCs/>
              </w:rPr>
            </w:pPr>
            <w:proofErr w:type="spellStart"/>
            <w:r w:rsidRPr="000D3F79">
              <w:rPr>
                <w:rFonts w:ascii="Times New Roman" w:hAnsi="Times New Roman"/>
                <w:bCs/>
              </w:rPr>
              <w:t>Vandebron</w:t>
            </w:r>
            <w:proofErr w:type="spellEnd"/>
            <w:r w:rsidRPr="000D3F79">
              <w:rPr>
                <w:rFonts w:ascii="Times New Roman" w:hAnsi="Times New Roman"/>
                <w:bCs/>
              </w:rPr>
              <w:t xml:space="preserve"> to platforma internetowa w Holandii, na której konsumenci energii mogą bezpośrednio kupować energię elektryczną od niezależnych producentów, takich jak rolnicy posiadający elektrownie wiatrowe na swoich polach. </w:t>
            </w:r>
          </w:p>
          <w:p w14:paraId="73443155" w14:textId="37917491" w:rsidR="005B13D8" w:rsidRPr="000D3F79" w:rsidRDefault="0043067B" w:rsidP="005B13D8">
            <w:pPr>
              <w:pStyle w:val="Akapitzlist"/>
              <w:numPr>
                <w:ilvl w:val="0"/>
                <w:numId w:val="145"/>
              </w:numPr>
              <w:spacing w:line="240" w:lineRule="auto"/>
              <w:ind w:left="350"/>
              <w:jc w:val="both"/>
              <w:rPr>
                <w:rFonts w:ascii="Times New Roman" w:hAnsi="Times New Roman"/>
                <w:bCs/>
              </w:rPr>
            </w:pPr>
            <w:proofErr w:type="spellStart"/>
            <w:r w:rsidRPr="000D3F79">
              <w:rPr>
                <w:rFonts w:ascii="Times New Roman" w:hAnsi="Times New Roman"/>
                <w:bCs/>
              </w:rPr>
              <w:t>PeerEnergyCloud</w:t>
            </w:r>
            <w:proofErr w:type="spellEnd"/>
            <w:r w:rsidRPr="000D3F79">
              <w:rPr>
                <w:rFonts w:ascii="Times New Roman" w:hAnsi="Times New Roman"/>
                <w:bCs/>
              </w:rPr>
              <w:t xml:space="preserve"> działający</w:t>
            </w:r>
            <w:r w:rsidR="005B13D8" w:rsidRPr="000D3F79">
              <w:rPr>
                <w:rFonts w:ascii="Times New Roman" w:hAnsi="Times New Roman"/>
                <w:bCs/>
              </w:rPr>
              <w:t xml:space="preserve"> w Niemczech</w:t>
            </w:r>
            <w:r w:rsidR="005B13D8">
              <w:rPr>
                <w:rFonts w:ascii="Times New Roman" w:hAnsi="Times New Roman"/>
                <w:bCs/>
              </w:rPr>
              <w:t xml:space="preserve"> o</w:t>
            </w:r>
            <w:r w:rsidR="005B13D8" w:rsidRPr="000D3F79">
              <w:rPr>
                <w:rFonts w:ascii="Times New Roman" w:hAnsi="Times New Roman"/>
                <w:bCs/>
              </w:rPr>
              <w:t>pracował technologie oparte na chmurze dla lokalne</w:t>
            </w:r>
            <w:r w:rsidR="005B13D8">
              <w:rPr>
                <w:rFonts w:ascii="Times New Roman" w:hAnsi="Times New Roman"/>
                <w:bCs/>
              </w:rPr>
              <w:t>j</w:t>
            </w:r>
            <w:r w:rsidR="005B13D8" w:rsidRPr="000D3F79">
              <w:rPr>
                <w:rFonts w:ascii="Times New Roman" w:hAnsi="Times New Roman"/>
                <w:bCs/>
              </w:rPr>
              <w:t xml:space="preserve"> elektronicznej platformy handlowej do zarządzania nadwyżką produkowanej energii w sieciach lokalnych. Powstał w celu zbadania procedur rejestrowania i prognozowania zużycia energii elektrycznej przez urządzenie oraz dla ustanowienia wirtualnego rynku handlu energią, jak również rozwijania dodatkowych usług w ramach </w:t>
            </w:r>
            <w:proofErr w:type="spellStart"/>
            <w:r w:rsidR="005B13D8" w:rsidRPr="000D3F79">
              <w:rPr>
                <w:rFonts w:ascii="Times New Roman" w:hAnsi="Times New Roman"/>
                <w:bCs/>
              </w:rPr>
              <w:t>mikrosieci</w:t>
            </w:r>
            <w:proofErr w:type="spellEnd"/>
            <w:r w:rsidR="005B13D8" w:rsidRPr="000D3F79">
              <w:rPr>
                <w:rFonts w:ascii="Times New Roman" w:hAnsi="Times New Roman"/>
                <w:bCs/>
              </w:rPr>
              <w:t>.</w:t>
            </w:r>
          </w:p>
          <w:p w14:paraId="02F9B10F" w14:textId="77777777" w:rsidR="00901E4B" w:rsidRPr="00901E4B" w:rsidRDefault="005B13D8" w:rsidP="00901E4B">
            <w:pPr>
              <w:pStyle w:val="Akapitzlist"/>
              <w:numPr>
                <w:ilvl w:val="0"/>
                <w:numId w:val="145"/>
              </w:numPr>
              <w:spacing w:after="120" w:line="240" w:lineRule="auto"/>
              <w:ind w:left="350"/>
              <w:jc w:val="both"/>
            </w:pPr>
            <w:proofErr w:type="spellStart"/>
            <w:r w:rsidRPr="000D3F79">
              <w:rPr>
                <w:rFonts w:ascii="Times New Roman" w:hAnsi="Times New Roman"/>
                <w:bCs/>
              </w:rPr>
              <w:t>TransActive</w:t>
            </w:r>
            <w:proofErr w:type="spellEnd"/>
            <w:r w:rsidRPr="000D3F79">
              <w:rPr>
                <w:rFonts w:ascii="Times New Roman" w:hAnsi="Times New Roman"/>
                <w:bCs/>
              </w:rPr>
              <w:t xml:space="preserve"> </w:t>
            </w:r>
            <w:proofErr w:type="spellStart"/>
            <w:r w:rsidRPr="000D3F79">
              <w:rPr>
                <w:rFonts w:ascii="Times New Roman" w:hAnsi="Times New Roman"/>
                <w:bCs/>
              </w:rPr>
              <w:t>Grid</w:t>
            </w:r>
            <w:proofErr w:type="spellEnd"/>
            <w:r w:rsidRPr="000D3F79">
              <w:rPr>
                <w:rFonts w:ascii="Times New Roman" w:hAnsi="Times New Roman"/>
                <w:bCs/>
              </w:rPr>
              <w:t xml:space="preserve"> to społeczny rynek energii, który umożliwia członkom bezpieczne i automatyczne kupowanie i sprzedawanie energii od siebie nawzajem za pomocą kontraktów oraz technologii </w:t>
            </w:r>
            <w:proofErr w:type="spellStart"/>
            <w:r w:rsidRPr="00ED16AF">
              <w:rPr>
                <w:rFonts w:ascii="Times New Roman" w:hAnsi="Times New Roman"/>
                <w:bCs/>
              </w:rPr>
              <w:t>blockchain</w:t>
            </w:r>
            <w:proofErr w:type="spellEnd"/>
            <w:r w:rsidRPr="000D3F79">
              <w:rPr>
                <w:rFonts w:ascii="Times New Roman" w:hAnsi="Times New Roman"/>
                <w:bCs/>
              </w:rPr>
              <w:t xml:space="preserve">. Obecny prototyp wykorzystuje </w:t>
            </w:r>
            <w:proofErr w:type="spellStart"/>
            <w:r w:rsidRPr="000D3F79">
              <w:rPr>
                <w:rFonts w:ascii="Times New Roman" w:hAnsi="Times New Roman"/>
                <w:bCs/>
              </w:rPr>
              <w:t>blockchain</w:t>
            </w:r>
            <w:proofErr w:type="spellEnd"/>
            <w:r w:rsidRPr="000D3F79">
              <w:rPr>
                <w:rFonts w:ascii="Times New Roman" w:hAnsi="Times New Roman"/>
                <w:bCs/>
              </w:rPr>
              <w:t xml:space="preserve"> </w:t>
            </w:r>
            <w:proofErr w:type="spellStart"/>
            <w:r w:rsidRPr="000D3F79">
              <w:rPr>
                <w:rFonts w:ascii="Times New Roman" w:hAnsi="Times New Roman"/>
                <w:bCs/>
              </w:rPr>
              <w:t>Ethereum</w:t>
            </w:r>
            <w:proofErr w:type="spellEnd"/>
            <w:r w:rsidRPr="000D3F79">
              <w:rPr>
                <w:rFonts w:ascii="Times New Roman" w:hAnsi="Times New Roman"/>
                <w:bCs/>
              </w:rPr>
              <w:t>. Znajduje się na Brooklynie, w Nowym Jorku. Lokalni producenci energii odnawialnej mogą sprzedawać nadwyżki dla sąsiadów, a społeczności mogą utrzymywać lokalne zasoby energii, zmniejszając jej rozpraszanie oraz zwiększając wydajność lokalnej sieci elektroenergetycznej.</w:t>
            </w:r>
          </w:p>
          <w:p w14:paraId="17692AF8" w14:textId="7D7A2FCA" w:rsidR="0043067B" w:rsidRPr="00301C67" w:rsidRDefault="005B13D8">
            <w:pPr>
              <w:pStyle w:val="Akapitzlist"/>
              <w:numPr>
                <w:ilvl w:val="0"/>
                <w:numId w:val="145"/>
              </w:numPr>
              <w:spacing w:after="120" w:line="240" w:lineRule="auto"/>
              <w:ind w:left="350"/>
              <w:jc w:val="both"/>
            </w:pPr>
            <w:proofErr w:type="spellStart"/>
            <w:r w:rsidRPr="004B458B">
              <w:rPr>
                <w:rFonts w:ascii="Times New Roman" w:hAnsi="Times New Roman"/>
                <w:bCs/>
              </w:rPr>
              <w:t>Piclo</w:t>
            </w:r>
            <w:proofErr w:type="spellEnd"/>
            <w:r w:rsidRPr="004B458B">
              <w:rPr>
                <w:rFonts w:ascii="Times New Roman" w:hAnsi="Times New Roman"/>
                <w:bCs/>
              </w:rPr>
              <w:t xml:space="preserve"> będąca owocem współpracy zawartej w Wielkiej Brytanii pomiędzy innowacyjną firmą technologiczną „Open </w:t>
            </w:r>
            <w:proofErr w:type="spellStart"/>
            <w:r w:rsidRPr="004B458B">
              <w:rPr>
                <w:rFonts w:ascii="Times New Roman" w:hAnsi="Times New Roman"/>
                <w:bCs/>
              </w:rPr>
              <w:t>Utility</w:t>
            </w:r>
            <w:proofErr w:type="spellEnd"/>
            <w:r w:rsidRPr="004B458B">
              <w:rPr>
                <w:rFonts w:ascii="Times New Roman" w:hAnsi="Times New Roman"/>
                <w:bCs/>
              </w:rPr>
              <w:t xml:space="preserve">” a dostawcą energii odnawialnej „Good Energy”, w ramach której konsumenci biznesowi mogli kupować energię elektryczną bezpośrednio z lokalnych źródeł odnawialnych. Dane z liczników, ceny generatorów i informacje o preferencjach konsumentów były wykorzystywane do dopasowania zapotrzebowania na energię elektryczną i dostaw co pół godziny. Generatory mają kontrolę i wgląd w to, kto kupuje od nich energię elektryczną. Konsumenci mogą wybierać i ustalać priorytety, od których wytwórców kupują energię elektryczną. </w:t>
            </w:r>
            <w:proofErr w:type="spellStart"/>
            <w:r w:rsidRPr="004B458B">
              <w:rPr>
                <w:rFonts w:ascii="Times New Roman" w:hAnsi="Times New Roman"/>
                <w:bCs/>
              </w:rPr>
              <w:t>Piclo</w:t>
            </w:r>
            <w:proofErr w:type="spellEnd"/>
            <w:r w:rsidRPr="004B458B">
              <w:rPr>
                <w:rFonts w:ascii="Times New Roman" w:hAnsi="Times New Roman"/>
                <w:bCs/>
              </w:rPr>
              <w:t xml:space="preserve"> dopasowuje generację i zużycie </w:t>
            </w:r>
            <w:r w:rsidRPr="004B458B">
              <w:rPr>
                <w:rFonts w:ascii="Times New Roman" w:hAnsi="Times New Roman"/>
                <w:bCs/>
              </w:rPr>
              <w:lastRenderedPageBreak/>
              <w:t>zgodnie</w:t>
            </w:r>
            <w:r>
              <w:t xml:space="preserve"> </w:t>
            </w:r>
            <w:r w:rsidRPr="004B458B">
              <w:rPr>
                <w:rFonts w:ascii="Times New Roman" w:hAnsi="Times New Roman"/>
                <w:bCs/>
              </w:rPr>
              <w:t>z preferencjami i lokalizacją, zapewniając klientom wizualizacje danych i analizy. Good Energy zapewnia umowy, dane z liczników, fakturowanie, obsługę klienta i równoważy rynek.</w:t>
            </w:r>
          </w:p>
          <w:p w14:paraId="1DFE4839" w14:textId="2258CCEB" w:rsidR="00F72775" w:rsidRPr="000435E7" w:rsidRDefault="005B13D8" w:rsidP="00301C67">
            <w:pPr>
              <w:spacing w:line="240" w:lineRule="auto"/>
              <w:contextualSpacing/>
              <w:jc w:val="both"/>
              <w:rPr>
                <w:rFonts w:ascii="Times New Roman" w:hAnsi="Times New Roman"/>
                <w:b/>
                <w:u w:val="single"/>
              </w:rPr>
            </w:pPr>
            <w:r>
              <w:rPr>
                <w:rFonts w:ascii="Times New Roman" w:hAnsi="Times New Roman"/>
                <w:b/>
                <w:u w:val="single"/>
              </w:rPr>
              <w:t xml:space="preserve">V. </w:t>
            </w:r>
            <w:r w:rsidR="004212C7" w:rsidRPr="000435E7">
              <w:rPr>
                <w:rFonts w:ascii="Times New Roman" w:hAnsi="Times New Roman"/>
                <w:b/>
                <w:u w:val="single"/>
              </w:rPr>
              <w:t xml:space="preserve">Systemy wsparcia </w:t>
            </w:r>
            <w:r w:rsidR="00012E65">
              <w:rPr>
                <w:rFonts w:ascii="Times New Roman" w:hAnsi="Times New Roman"/>
                <w:b/>
                <w:u w:val="single"/>
              </w:rPr>
              <w:t xml:space="preserve">operacyjnego </w:t>
            </w:r>
            <w:r w:rsidR="004212C7" w:rsidRPr="000435E7">
              <w:rPr>
                <w:rFonts w:ascii="Times New Roman" w:hAnsi="Times New Roman"/>
                <w:b/>
                <w:u w:val="single"/>
              </w:rPr>
              <w:t>umożliwiającego pokrycie uzasadnionych kosztów operacyjnych dla instalacji OZE po zakończeniu 15 letniego okresu wsparcia</w:t>
            </w:r>
          </w:p>
          <w:p w14:paraId="0ECAE6E8" w14:textId="77777777" w:rsidR="004212C7" w:rsidRPr="000D3F79" w:rsidRDefault="004212C7">
            <w:pPr>
              <w:spacing w:line="240" w:lineRule="auto"/>
              <w:jc w:val="both"/>
              <w:rPr>
                <w:rFonts w:ascii="Times New Roman" w:hAnsi="Times New Roman"/>
                <w:bCs/>
              </w:rPr>
            </w:pPr>
            <w:r w:rsidRPr="000D3F79">
              <w:rPr>
                <w:rFonts w:ascii="Times New Roman" w:hAnsi="Times New Roman"/>
                <w:bCs/>
              </w:rPr>
              <w:t>Komisja Europejska w wydanym komunikacie nr 2014/C 200/01 „</w:t>
            </w:r>
            <w:r w:rsidRPr="004B458B">
              <w:rPr>
                <w:rFonts w:ascii="Times New Roman" w:hAnsi="Times New Roman"/>
                <w:bCs/>
                <w:i/>
                <w:iCs/>
              </w:rPr>
              <w:t>Wytyczne w sprawie pomocy państwa na ochronę środowiska i cele związane z energią w latach 2014-2020</w:t>
            </w:r>
            <w:r w:rsidRPr="000D3F79">
              <w:rPr>
                <w:rFonts w:ascii="Times New Roman" w:hAnsi="Times New Roman"/>
                <w:bCs/>
              </w:rPr>
              <w:t>” (dalej: EEAG) w punkcie 3.3.2.3 przewidziała możliwość uznania za zgodną z rynkiem wewnętrznym pomoc operacyjną na istniejące instalacje wykorzystujące biomasę po amortyzacji instalacji. Przewidziano dwa przypadki:</w:t>
            </w:r>
          </w:p>
          <w:p w14:paraId="1908FD5E" w14:textId="77777777" w:rsidR="004212C7" w:rsidRPr="00B73A84" w:rsidRDefault="004212C7" w:rsidP="00B73A84">
            <w:pPr>
              <w:numPr>
                <w:ilvl w:val="0"/>
                <w:numId w:val="162"/>
              </w:numPr>
              <w:spacing w:line="240" w:lineRule="auto"/>
              <w:ind w:left="486"/>
              <w:jc w:val="both"/>
              <w:rPr>
                <w:rFonts w:ascii="Times New Roman" w:hAnsi="Times New Roman"/>
                <w:bCs/>
              </w:rPr>
            </w:pPr>
            <w:r w:rsidRPr="00B73A84">
              <w:rPr>
                <w:rFonts w:ascii="Times New Roman" w:hAnsi="Times New Roman"/>
                <w:bCs/>
              </w:rPr>
              <w:t xml:space="preserve">Komisja uzna pomoc operacyjną na instalację wykorzystującą biomasę po amortyzacji instalacji za zgodną z rynkiem wewnętrznym, jeśli państwo członkowskie wykaże, że </w:t>
            </w:r>
            <w:r w:rsidRPr="004B458B">
              <w:rPr>
                <w:rFonts w:ascii="Times New Roman" w:hAnsi="Times New Roman"/>
              </w:rPr>
              <w:t>koszty operacyjne ponoszone przez beneficjenta po amortyzacji instalacji są nadal wyższe niż cena rynkowa odnośnej energii</w:t>
            </w:r>
            <w:r w:rsidRPr="00B73A84">
              <w:rPr>
                <w:rFonts w:ascii="Times New Roman" w:hAnsi="Times New Roman"/>
                <w:bCs/>
              </w:rPr>
              <w:t xml:space="preserve"> oraz z zastrzeżeniem spełnienia łącznie następujących warunków:</w:t>
            </w:r>
          </w:p>
          <w:p w14:paraId="08ECC3A3" w14:textId="77777777"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pomoc przyznaje się wyłącznie w odniesieniu do energii wyprodukowanej ze źródeł odnawialnych;</w:t>
            </w:r>
          </w:p>
          <w:p w14:paraId="7E19F870" w14:textId="4A40706A"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środek skonstruowany jest w taki sposób, że rekompensuje różnicę między kosztami operacyjnymi ponoszonymi przez beneficjenta a ceną rynkową</w:t>
            </w:r>
            <w:r w:rsidR="005148C3">
              <w:rPr>
                <w:rFonts w:ascii="Times New Roman" w:hAnsi="Times New Roman"/>
                <w:bCs/>
              </w:rPr>
              <w:t>,</w:t>
            </w:r>
            <w:r w:rsidRPr="00B73A84">
              <w:rPr>
                <w:rFonts w:ascii="Times New Roman" w:hAnsi="Times New Roman"/>
                <w:bCs/>
              </w:rPr>
              <w:t xml:space="preserve"> oraz</w:t>
            </w:r>
          </w:p>
          <w:p w14:paraId="455CD1AE" w14:textId="19895600" w:rsidR="004212C7" w:rsidRPr="00B73A84" w:rsidRDefault="004212C7">
            <w:pPr>
              <w:numPr>
                <w:ilvl w:val="0"/>
                <w:numId w:val="114"/>
              </w:numPr>
              <w:spacing w:line="240" w:lineRule="auto"/>
              <w:jc w:val="both"/>
              <w:rPr>
                <w:rFonts w:ascii="Times New Roman" w:hAnsi="Times New Roman"/>
                <w:bCs/>
              </w:rPr>
            </w:pPr>
            <w:r w:rsidRPr="00B73A84">
              <w:rPr>
                <w:rFonts w:ascii="Times New Roman" w:hAnsi="Times New Roman"/>
                <w:bCs/>
              </w:rPr>
              <w:t>istnieje mechanizm monitorowania służący do weryfikacji, czy ponoszone koszty operacyjne są nadal wyższe niż cena rynkowa energii. Mechanizm monitorowania musi być oparty na aktualnych informacjach dotyczących kosztu produkcji i stosowany co najmniej raz w roku</w:t>
            </w:r>
            <w:r w:rsidR="0038470F">
              <w:rPr>
                <w:rFonts w:ascii="Times New Roman" w:hAnsi="Times New Roman"/>
                <w:bCs/>
              </w:rPr>
              <w:t>;</w:t>
            </w:r>
          </w:p>
          <w:p w14:paraId="14E4D6C2" w14:textId="77777777" w:rsidR="004212C7" w:rsidRPr="00B73A84" w:rsidRDefault="004212C7" w:rsidP="00B73A84">
            <w:pPr>
              <w:numPr>
                <w:ilvl w:val="0"/>
                <w:numId w:val="162"/>
              </w:numPr>
              <w:spacing w:line="240" w:lineRule="auto"/>
              <w:ind w:left="486"/>
              <w:jc w:val="both"/>
              <w:rPr>
                <w:rFonts w:ascii="Times New Roman" w:hAnsi="Times New Roman"/>
                <w:bCs/>
              </w:rPr>
            </w:pPr>
            <w:r w:rsidRPr="00B73A84">
              <w:rPr>
                <w:rFonts w:ascii="Times New Roman" w:hAnsi="Times New Roman"/>
                <w:bCs/>
              </w:rPr>
              <w:t xml:space="preserve">Komisja uzna pomoc operacyjną na instalację wykorzystującą biomasę po amortyzacji instalacji za zgodną z rynkiem wewnętrznym, jeśli państwo członkowskie wykaże, że </w:t>
            </w:r>
            <w:r w:rsidRPr="004B458B">
              <w:rPr>
                <w:rFonts w:ascii="Times New Roman" w:hAnsi="Times New Roman"/>
              </w:rPr>
              <w:t>niezależnie od ceny rynkowej odnośnego rodzaju energii, wykorzystanie paliw kopalnych jako surowca jest ekonomicznie korzystniejsze niż wykorzystanie biomasy</w:t>
            </w:r>
            <w:r w:rsidRPr="00B73A84">
              <w:rPr>
                <w:rFonts w:ascii="Times New Roman" w:hAnsi="Times New Roman"/>
                <w:b/>
                <w:bCs/>
              </w:rPr>
              <w:t xml:space="preserve"> </w:t>
            </w:r>
            <w:r w:rsidRPr="00B73A84">
              <w:rPr>
                <w:rFonts w:ascii="Times New Roman" w:hAnsi="Times New Roman"/>
                <w:bCs/>
              </w:rPr>
              <w:t>oraz z zastrzeżeniem spełnienia łącznie następujących warunków:</w:t>
            </w:r>
          </w:p>
          <w:p w14:paraId="2A0F7C16" w14:textId="77777777"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pomoc przyznaje się wyłącznie w odniesieniu do energii wyprodukowanej ze źródeł odnawialnych;</w:t>
            </w:r>
          </w:p>
          <w:p w14:paraId="2F1826E5" w14:textId="77777777"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środek skonstruowany jest w taki sposób, że rekompensuje różnicę między kosztami operacyjnymi ponoszonymi przez beneficjenta produkującego energię z biomasy a kosztami operacyjnymi ponoszonymi w związku ze stosowaniem alternatywnego surowca w postaci paliw kopalnych;</w:t>
            </w:r>
          </w:p>
          <w:p w14:paraId="4C98DCEF" w14:textId="694A4254" w:rsidR="004212C7" w:rsidRPr="00B73A84" w:rsidRDefault="004212C7">
            <w:pPr>
              <w:numPr>
                <w:ilvl w:val="0"/>
                <w:numId w:val="115"/>
              </w:numPr>
              <w:spacing w:line="240" w:lineRule="auto"/>
              <w:jc w:val="both"/>
              <w:rPr>
                <w:rFonts w:ascii="Times New Roman" w:hAnsi="Times New Roman"/>
                <w:bCs/>
              </w:rPr>
            </w:pPr>
            <w:r w:rsidRPr="00B73A84">
              <w:rPr>
                <w:rFonts w:ascii="Times New Roman" w:hAnsi="Times New Roman"/>
                <w:bCs/>
              </w:rPr>
              <w:t xml:space="preserve">przedstawiono wiarygodne dowody potwierdzające, że bez pomocy </w:t>
            </w:r>
            <w:r w:rsidR="00AE2082">
              <w:rPr>
                <w:rFonts w:ascii="Times New Roman" w:hAnsi="Times New Roman"/>
                <w:bCs/>
              </w:rPr>
              <w:t>nastąpiłaby rezygnacja</w:t>
            </w:r>
            <w:r w:rsidR="00AE2082" w:rsidRPr="00B73A84">
              <w:rPr>
                <w:rFonts w:ascii="Times New Roman" w:hAnsi="Times New Roman"/>
                <w:bCs/>
              </w:rPr>
              <w:t xml:space="preserve"> </w:t>
            </w:r>
            <w:r w:rsidRPr="00B73A84">
              <w:rPr>
                <w:rFonts w:ascii="Times New Roman" w:hAnsi="Times New Roman"/>
                <w:bCs/>
              </w:rPr>
              <w:br/>
              <w:t>z wykorzystania biomasy na rzecz paliw kopalnych w tej samej instalacji; oraz</w:t>
            </w:r>
          </w:p>
          <w:p w14:paraId="6B786072" w14:textId="3765C832" w:rsidR="00324408" w:rsidRPr="00F408F1" w:rsidRDefault="004212C7" w:rsidP="004B458B">
            <w:pPr>
              <w:numPr>
                <w:ilvl w:val="0"/>
                <w:numId w:val="115"/>
              </w:numPr>
              <w:spacing w:after="120" w:line="240" w:lineRule="auto"/>
              <w:jc w:val="both"/>
              <w:rPr>
                <w:rFonts w:ascii="Times New Roman" w:hAnsi="Times New Roman"/>
                <w:bCs/>
              </w:rPr>
            </w:pPr>
            <w:r w:rsidRPr="00F408F1">
              <w:rPr>
                <w:rFonts w:ascii="Times New Roman" w:hAnsi="Times New Roman"/>
                <w:bCs/>
              </w:rPr>
              <w:t>istnieje mechanizm monitorowania służący do weryfikacji, czy wykorzystanie paliw kopalnych jest korzystniejsze niż wykorzystanie biomasy. Mechanizm monitorowania musi być oparty na aktualnych informacjach dotyczących kosztów i stosowany co najmniej raz</w:t>
            </w:r>
            <w:r w:rsidR="00E86A3B" w:rsidRPr="00F408F1">
              <w:rPr>
                <w:rFonts w:ascii="Times New Roman" w:hAnsi="Times New Roman"/>
                <w:bCs/>
              </w:rPr>
              <w:t xml:space="preserve"> </w:t>
            </w:r>
            <w:r w:rsidRPr="00F408F1">
              <w:rPr>
                <w:rFonts w:ascii="Times New Roman" w:hAnsi="Times New Roman"/>
                <w:bCs/>
              </w:rPr>
              <w:t>w roku.</w:t>
            </w:r>
          </w:p>
          <w:p w14:paraId="559DDF28" w14:textId="26E28440" w:rsidR="004212C7" w:rsidRPr="000D3F79" w:rsidRDefault="004212C7" w:rsidP="000D3F79">
            <w:pPr>
              <w:spacing w:after="120" w:line="240" w:lineRule="auto"/>
              <w:jc w:val="both"/>
              <w:rPr>
                <w:rFonts w:ascii="Times New Roman" w:hAnsi="Times New Roman"/>
                <w:bCs/>
              </w:rPr>
            </w:pPr>
            <w:r w:rsidRPr="000D3F79">
              <w:rPr>
                <w:rFonts w:ascii="Times New Roman" w:hAnsi="Times New Roman"/>
                <w:bCs/>
              </w:rPr>
              <w:t xml:space="preserve">Wprawdzie powyższe regulacje wprost dotyczą technologii </w:t>
            </w:r>
            <w:proofErr w:type="spellStart"/>
            <w:r w:rsidRPr="000D3F79">
              <w:rPr>
                <w:rFonts w:ascii="Times New Roman" w:hAnsi="Times New Roman"/>
                <w:bCs/>
              </w:rPr>
              <w:t>biomasowej</w:t>
            </w:r>
            <w:proofErr w:type="spellEnd"/>
            <w:r w:rsidRPr="000D3F79">
              <w:rPr>
                <w:rFonts w:ascii="Times New Roman" w:hAnsi="Times New Roman"/>
                <w:bCs/>
              </w:rPr>
              <w:t xml:space="preserve"> a także </w:t>
            </w:r>
            <w:r w:rsidR="00EA3A71">
              <w:rPr>
                <w:rFonts w:ascii="Times New Roman" w:hAnsi="Times New Roman"/>
                <w:bCs/>
              </w:rPr>
              <w:t xml:space="preserve">w konsekwencji </w:t>
            </w:r>
            <w:r w:rsidRPr="000D3F79">
              <w:rPr>
                <w:rFonts w:ascii="Times New Roman" w:hAnsi="Times New Roman"/>
                <w:bCs/>
              </w:rPr>
              <w:t>biogazowej, ale z praktyki decyzyjnej Komisji Europejskiej wynika, że mają one zastosowanie także do innych technologii OZE, dla których koszty operacyjne przekraczają rynkową cenę energii. Komisja dysponuje szerokim władztwem, które umożliwia uznanie za zgodne z zasadami prawa UE programów pomocowych. Przykładowo, KE zaakceptowała wsparcie operacyjne dla hydroelektrowni w Niemczech i biogazowni na Węgrzech i w Niemczech.</w:t>
            </w:r>
          </w:p>
          <w:p w14:paraId="7EB16685" w14:textId="77777777" w:rsidR="00F72775" w:rsidRDefault="004212C7" w:rsidP="00B73A84">
            <w:pPr>
              <w:spacing w:after="120" w:line="240" w:lineRule="auto"/>
              <w:jc w:val="both"/>
              <w:rPr>
                <w:rFonts w:ascii="Times New Roman" w:hAnsi="Times New Roman"/>
                <w:bCs/>
              </w:rPr>
            </w:pPr>
            <w:r w:rsidRPr="000D3F79">
              <w:rPr>
                <w:rFonts w:ascii="Times New Roman" w:hAnsi="Times New Roman"/>
                <w:bCs/>
              </w:rPr>
              <w:t xml:space="preserve">Zgodnie z pkt. 3.2.3.2 (teza 45) EEAG, Komisja Europejska pozostawia Państwom Członkowskim dużą swobodę w kształtowaniu proponowanych mechanizmów wsparcia – podkreślając równocześnie, że mechanizmy te winny być adekwatne do założonych celów. Z tego powodu zasadnym jest opracowanie systemu wsparcia dla istniejących instalacji OZE po amortyzacji instalacji, jednakże przy uwzględnieniu specyfiki poszczególnych technologii oraz problemów, z jakimi borykają się instalacje, korzystające z poszczególnych </w:t>
            </w:r>
            <w:r w:rsidR="00D71DD3" w:rsidRPr="000D3F79">
              <w:rPr>
                <w:rFonts w:ascii="Times New Roman" w:hAnsi="Times New Roman"/>
                <w:bCs/>
              </w:rPr>
              <w:t>OZE</w:t>
            </w:r>
            <w:r w:rsidRPr="000D3F79">
              <w:rPr>
                <w:rFonts w:ascii="Times New Roman" w:hAnsi="Times New Roman"/>
                <w:bCs/>
              </w:rPr>
              <w:t>.</w:t>
            </w:r>
          </w:p>
          <w:p w14:paraId="60F4EF88" w14:textId="24B4DD2A" w:rsidR="00F408F1" w:rsidRPr="004B458B" w:rsidRDefault="00F408F1" w:rsidP="00B60414">
            <w:pPr>
              <w:spacing w:after="120" w:line="240" w:lineRule="auto"/>
              <w:jc w:val="both"/>
              <w:rPr>
                <w:rFonts w:ascii="Times New Roman" w:hAnsi="Times New Roman"/>
                <w:bCs/>
              </w:rPr>
            </w:pPr>
            <w:r>
              <w:rPr>
                <w:rFonts w:ascii="Times New Roman" w:hAnsi="Times New Roman"/>
                <w:color w:val="000000"/>
                <w:spacing w:val="-2"/>
                <w:sz w:val="24"/>
              </w:rPr>
              <w:t>P</w:t>
            </w:r>
            <w:r w:rsidRPr="000D3F79">
              <w:rPr>
                <w:rFonts w:ascii="Times New Roman" w:hAnsi="Times New Roman"/>
                <w:color w:val="000000"/>
                <w:spacing w:val="-2"/>
              </w:rPr>
              <w:t xml:space="preserve">otrzebę udzielania pomocy finansowej na modernizację i utrzymanie zdolności produkcyjnych instalacji OZE po zakończeniu okresu wsparcia w Unii Europejskiej dostrzegło wiele krajów. Ze względu na szczególnie newralgiczny charakter tego segmentu i konieczność jego promowania ze środków publicznych podobne wsparcie wprowadzono </w:t>
            </w:r>
            <w:r w:rsidR="00B60414">
              <w:rPr>
                <w:rFonts w:ascii="Times New Roman" w:hAnsi="Times New Roman"/>
                <w:color w:val="000000"/>
                <w:spacing w:val="-2"/>
              </w:rPr>
              <w:t xml:space="preserve">dla przykładu </w:t>
            </w:r>
            <w:r w:rsidRPr="000D3F79">
              <w:rPr>
                <w:rFonts w:ascii="Times New Roman" w:hAnsi="Times New Roman"/>
                <w:color w:val="000000"/>
                <w:spacing w:val="-2"/>
              </w:rPr>
              <w:t>w następujących krajach Unii Europejskiej:</w:t>
            </w:r>
          </w:p>
          <w:p w14:paraId="61E31454" w14:textId="77777777" w:rsidR="00B60414" w:rsidRPr="002B147C" w:rsidRDefault="00B60414" w:rsidP="004B458B">
            <w:pPr>
              <w:spacing w:line="240" w:lineRule="auto"/>
              <w:jc w:val="both"/>
              <w:rPr>
                <w:rFonts w:ascii="Times New Roman" w:hAnsi="Times New Roman"/>
                <w:bCs/>
                <w:u w:val="single"/>
              </w:rPr>
            </w:pPr>
            <w:r w:rsidRPr="002B147C">
              <w:rPr>
                <w:rFonts w:ascii="Times New Roman" w:hAnsi="Times New Roman"/>
                <w:bCs/>
                <w:u w:val="single"/>
              </w:rPr>
              <w:t>Dania:</w:t>
            </w:r>
          </w:p>
          <w:p w14:paraId="5F8FD206" w14:textId="5AF85042" w:rsidR="00B60414" w:rsidRDefault="00B60414" w:rsidP="00B60414">
            <w:pPr>
              <w:spacing w:after="120" w:line="240" w:lineRule="auto"/>
              <w:jc w:val="both"/>
              <w:rPr>
                <w:rFonts w:ascii="Times New Roman" w:hAnsi="Times New Roman"/>
                <w:bCs/>
              </w:rPr>
            </w:pPr>
            <w:r>
              <w:rPr>
                <w:rFonts w:ascii="Times New Roman" w:hAnsi="Times New Roman"/>
                <w:bCs/>
              </w:rPr>
              <w:t xml:space="preserve">W maju 2020 roku Komisja Europejska zaakceptowała program wsparcia dla istniejących i zamortyzowanych instalacji na biomasę. Wsparcie ma pokryć nadwyżkę kosztów wytworzenia energii w takich instalacjach w stosunku do porównywalnych instalacji opartych na spalaniu węgla. Premia będzie obliczana corocznie i nie będzie mogła przekroczyć </w:t>
            </w:r>
            <w:r w:rsidRPr="005A707A">
              <w:rPr>
                <w:rFonts w:ascii="Times New Roman" w:hAnsi="Times New Roman"/>
              </w:rPr>
              <w:t>0,11 DKK/kWh (ok. 0,068 zł/kWh)</w:t>
            </w:r>
            <w:r w:rsidRPr="003A1FEA">
              <w:rPr>
                <w:rFonts w:ascii="Times New Roman" w:hAnsi="Times New Roman"/>
                <w:bCs/>
              </w:rPr>
              <w:t>. Koszty</w:t>
            </w:r>
            <w:r>
              <w:rPr>
                <w:rFonts w:ascii="Times New Roman" w:hAnsi="Times New Roman"/>
                <w:bCs/>
              </w:rPr>
              <w:t xml:space="preserve"> systemu wsparcia, który ma działać do 31 grudnia 2029 roku wyliczono na 4,15 mld DKK (2,55 mld zł). Komisja aprobując przyjęte rozwiązanie oparła się na wytycznych EEAG</w:t>
            </w:r>
            <w:r w:rsidR="003A1FEA">
              <w:rPr>
                <w:rFonts w:ascii="Times New Roman" w:hAnsi="Times New Roman"/>
                <w:bCs/>
              </w:rPr>
              <w:t>,</w:t>
            </w:r>
            <w:r>
              <w:rPr>
                <w:rFonts w:ascii="Times New Roman" w:hAnsi="Times New Roman"/>
                <w:bCs/>
              </w:rPr>
              <w:t xml:space="preserve"> przychylając się do argumentów strony duńskiej, która podkreślała pozytywny wpływ wsparcia na osiągnięcie poziomu 55% produkcji energii z OZE w 2030 roku i wygaszenia spalania węgla w 2050 roku.</w:t>
            </w:r>
          </w:p>
          <w:p w14:paraId="2B792585" w14:textId="77777777" w:rsidR="00B60414" w:rsidRPr="002B147C" w:rsidRDefault="00B60414" w:rsidP="004B458B">
            <w:pPr>
              <w:spacing w:line="240" w:lineRule="auto"/>
              <w:jc w:val="both"/>
              <w:rPr>
                <w:rFonts w:ascii="Times New Roman" w:hAnsi="Times New Roman"/>
                <w:bCs/>
                <w:u w:val="single"/>
              </w:rPr>
            </w:pPr>
            <w:r w:rsidRPr="002B147C">
              <w:rPr>
                <w:rFonts w:ascii="Times New Roman" w:hAnsi="Times New Roman"/>
                <w:bCs/>
                <w:u w:val="single"/>
              </w:rPr>
              <w:t>Estonia:</w:t>
            </w:r>
          </w:p>
          <w:p w14:paraId="61A12406" w14:textId="77777777" w:rsidR="00B60414" w:rsidRDefault="00B60414" w:rsidP="00B60414">
            <w:pPr>
              <w:spacing w:after="120" w:line="240" w:lineRule="auto"/>
              <w:jc w:val="both"/>
              <w:rPr>
                <w:rFonts w:ascii="Times New Roman" w:hAnsi="Times New Roman"/>
                <w:bCs/>
              </w:rPr>
            </w:pPr>
            <w:r>
              <w:rPr>
                <w:rFonts w:ascii="Times New Roman" w:hAnsi="Times New Roman"/>
                <w:bCs/>
              </w:rPr>
              <w:t>W grudniu 2020 roku Komisja Europejska zaakceptowała przedłużenie estońskiego programu wsparcia dla istniejących i planowanych odnawialnych źródeł energii. Wsparcie ma pokryć różnicę między kosztami wytwarzania energii a rynkową ceną energii. W przypadku ujemnej różnicy, wytwórca zwróci odpowiednią kwotę. Ma to zapewnić ekonomiczną stabilność źródeł przy minimalizowaniu kosztów dla systemu.</w:t>
            </w:r>
          </w:p>
          <w:p w14:paraId="7DEFE9AB" w14:textId="493D40CE" w:rsidR="00B60414" w:rsidRDefault="00B60414" w:rsidP="00B60414">
            <w:pPr>
              <w:spacing w:after="120" w:line="240" w:lineRule="auto"/>
              <w:jc w:val="both"/>
              <w:rPr>
                <w:rFonts w:ascii="Times New Roman" w:hAnsi="Times New Roman"/>
                <w:bCs/>
              </w:rPr>
            </w:pPr>
            <w:r>
              <w:rPr>
                <w:rFonts w:ascii="Times New Roman" w:hAnsi="Times New Roman"/>
                <w:bCs/>
              </w:rPr>
              <w:lastRenderedPageBreak/>
              <w:t>Wsparcie będzie przyznawane w procedurze neutralnych technologicznie aukcji. Udział w nich będą mogły wziąć także istniejące instalacje wykorzystujące paliwa kopalne, które planują wymianę jednostek wytwórczych na oparte na odnawialnych źródłach energii. System zatwierdzono na 10 lat przy przewidywanych kosztach w wysokości 450 mln eur</w:t>
            </w:r>
            <w:r w:rsidR="003A1FEA">
              <w:rPr>
                <w:rFonts w:ascii="Times New Roman" w:hAnsi="Times New Roman"/>
                <w:bCs/>
              </w:rPr>
              <w:t>o</w:t>
            </w:r>
            <w:r>
              <w:rPr>
                <w:rFonts w:ascii="Times New Roman" w:hAnsi="Times New Roman"/>
                <w:bCs/>
              </w:rPr>
              <w:t xml:space="preserve"> (2,06 mld zł).</w:t>
            </w:r>
          </w:p>
          <w:p w14:paraId="51A097F3" w14:textId="0787C405" w:rsidR="00B60414" w:rsidRPr="00E9725D" w:rsidRDefault="00B60414" w:rsidP="002020BA">
            <w:pPr>
              <w:spacing w:after="120" w:line="240" w:lineRule="auto"/>
              <w:jc w:val="both"/>
              <w:rPr>
                <w:rFonts w:ascii="Times New Roman" w:hAnsi="Times New Roman"/>
                <w:bCs/>
              </w:rPr>
            </w:pPr>
            <w:r>
              <w:rPr>
                <w:rFonts w:ascii="Times New Roman" w:hAnsi="Times New Roman"/>
                <w:bCs/>
              </w:rPr>
              <w:t xml:space="preserve">Komisja w swojej decyzji oparła się na wytycznych EEAG, uznając że przyjęte rozwiązanie ogranicza do minimum koszty, a jednocześnie chroni wytwórców przed nagłymi zmianami cen na rynku. Dodatkowo, zwrócono uwagę na występowanie efektu zachęty w sytuacji, kiedy cena energii na rynku nie pokrywa kosztów produkcji. </w:t>
            </w:r>
          </w:p>
        </w:tc>
      </w:tr>
      <w:tr w:rsidR="006A701A" w:rsidRPr="00687093" w14:paraId="7212FFA3" w14:textId="77777777" w:rsidTr="008B0DAC">
        <w:trPr>
          <w:trHeight w:val="359"/>
        </w:trPr>
        <w:tc>
          <w:tcPr>
            <w:tcW w:w="10947" w:type="dxa"/>
            <w:gridSpan w:val="30"/>
            <w:shd w:val="clear" w:color="auto" w:fill="99CCFF"/>
            <w:vAlign w:val="center"/>
          </w:tcPr>
          <w:p w14:paraId="1DA8DC2A" w14:textId="77777777" w:rsidR="006A701A" w:rsidRPr="00687093" w:rsidRDefault="006A701A">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Podmioty, na które oddziałuje projekt</w:t>
            </w:r>
          </w:p>
        </w:tc>
      </w:tr>
      <w:tr w:rsidR="00260F33" w:rsidRPr="00687093" w14:paraId="0FC89028" w14:textId="77777777" w:rsidTr="003D57D7">
        <w:trPr>
          <w:trHeight w:val="142"/>
        </w:trPr>
        <w:tc>
          <w:tcPr>
            <w:tcW w:w="2667" w:type="dxa"/>
            <w:gridSpan w:val="3"/>
            <w:shd w:val="clear" w:color="auto" w:fill="auto"/>
          </w:tcPr>
          <w:p w14:paraId="5DE5FBE3"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Grupa</w:t>
            </w:r>
          </w:p>
        </w:tc>
        <w:tc>
          <w:tcPr>
            <w:tcW w:w="2292" w:type="dxa"/>
            <w:gridSpan w:val="8"/>
            <w:shd w:val="clear" w:color="auto" w:fill="auto"/>
          </w:tcPr>
          <w:p w14:paraId="5AFD0E0D" w14:textId="77777777" w:rsidR="00260F33" w:rsidRPr="002D5B75" w:rsidRDefault="00563199">
            <w:pPr>
              <w:spacing w:line="240" w:lineRule="auto"/>
              <w:jc w:val="center"/>
              <w:rPr>
                <w:rFonts w:ascii="Times New Roman" w:hAnsi="Times New Roman"/>
                <w:color w:val="000000"/>
                <w:spacing w:val="-2"/>
              </w:rPr>
            </w:pPr>
            <w:r w:rsidRPr="002D5B75">
              <w:rPr>
                <w:rFonts w:ascii="Times New Roman" w:hAnsi="Times New Roman"/>
                <w:color w:val="000000"/>
                <w:spacing w:val="-2"/>
              </w:rPr>
              <w:t>Wielkość</w:t>
            </w:r>
          </w:p>
        </w:tc>
        <w:tc>
          <w:tcPr>
            <w:tcW w:w="2300" w:type="dxa"/>
            <w:gridSpan w:val="10"/>
            <w:shd w:val="clear" w:color="auto" w:fill="auto"/>
          </w:tcPr>
          <w:p w14:paraId="3910F9B7"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Źródło danych</w:t>
            </w:r>
            <w:r w:rsidRPr="002D5B75" w:rsidDel="00260F33">
              <w:rPr>
                <w:rFonts w:ascii="Times New Roman" w:hAnsi="Times New Roman"/>
                <w:color w:val="000000"/>
                <w:spacing w:val="-2"/>
              </w:rPr>
              <w:t xml:space="preserve"> </w:t>
            </w:r>
          </w:p>
        </w:tc>
        <w:tc>
          <w:tcPr>
            <w:tcW w:w="3688" w:type="dxa"/>
            <w:gridSpan w:val="9"/>
            <w:shd w:val="clear" w:color="auto" w:fill="auto"/>
          </w:tcPr>
          <w:p w14:paraId="5B48B805" w14:textId="77777777" w:rsidR="00260F33" w:rsidRPr="002D5B75" w:rsidRDefault="00260F33">
            <w:pPr>
              <w:spacing w:line="240" w:lineRule="auto"/>
              <w:jc w:val="center"/>
              <w:rPr>
                <w:rFonts w:ascii="Times New Roman" w:hAnsi="Times New Roman"/>
                <w:color w:val="000000"/>
                <w:spacing w:val="-2"/>
              </w:rPr>
            </w:pPr>
            <w:r w:rsidRPr="002D5B75">
              <w:rPr>
                <w:rFonts w:ascii="Times New Roman" w:hAnsi="Times New Roman"/>
                <w:color w:val="000000"/>
                <w:spacing w:val="-2"/>
              </w:rPr>
              <w:t>Oddziaływanie</w:t>
            </w:r>
          </w:p>
        </w:tc>
      </w:tr>
      <w:tr w:rsidR="0043073C" w:rsidRPr="00687093" w14:paraId="433F7ED6" w14:textId="77777777" w:rsidTr="003D57D7">
        <w:trPr>
          <w:gridAfter w:val="1"/>
          <w:wAfter w:w="10" w:type="dxa"/>
          <w:trHeight w:val="1387"/>
        </w:trPr>
        <w:tc>
          <w:tcPr>
            <w:tcW w:w="2667" w:type="dxa"/>
            <w:gridSpan w:val="3"/>
            <w:shd w:val="clear" w:color="auto" w:fill="auto"/>
          </w:tcPr>
          <w:p w14:paraId="1C4EF712" w14:textId="1BD32962" w:rsidR="006A571D" w:rsidRPr="00687093" w:rsidRDefault="0019427C">
            <w:pPr>
              <w:spacing w:line="240" w:lineRule="auto"/>
              <w:rPr>
                <w:rFonts w:ascii="Times New Roman" w:hAnsi="Times New Roman"/>
                <w:color w:val="000000"/>
                <w:sz w:val="20"/>
                <w:szCs w:val="20"/>
              </w:rPr>
            </w:pPr>
            <w:r w:rsidRPr="00687093">
              <w:rPr>
                <w:rFonts w:ascii="Times New Roman" w:hAnsi="Times New Roman"/>
                <w:color w:val="000000"/>
                <w:sz w:val="20"/>
                <w:szCs w:val="20"/>
              </w:rPr>
              <w:t>W</w:t>
            </w:r>
            <w:r w:rsidR="0072174C" w:rsidRPr="00687093">
              <w:rPr>
                <w:rFonts w:ascii="Times New Roman" w:hAnsi="Times New Roman"/>
                <w:color w:val="000000"/>
                <w:sz w:val="20"/>
                <w:szCs w:val="20"/>
              </w:rPr>
              <w:t xml:space="preserve">ytwórcy </w:t>
            </w:r>
            <w:proofErr w:type="spellStart"/>
            <w:r w:rsidR="0072174C" w:rsidRPr="00687093">
              <w:rPr>
                <w:rFonts w:ascii="Times New Roman" w:hAnsi="Times New Roman"/>
                <w:color w:val="000000"/>
                <w:sz w:val="20"/>
                <w:szCs w:val="20"/>
              </w:rPr>
              <w:t>biometanu</w:t>
            </w:r>
            <w:proofErr w:type="spellEnd"/>
            <w:r w:rsidR="0072174C" w:rsidRPr="00687093">
              <w:rPr>
                <w:rFonts w:ascii="Times New Roman" w:hAnsi="Times New Roman"/>
                <w:color w:val="000000"/>
                <w:sz w:val="20"/>
                <w:szCs w:val="20"/>
              </w:rPr>
              <w:t xml:space="preserve"> z biogazu lub biogazu rolniczego</w:t>
            </w:r>
          </w:p>
          <w:p w14:paraId="3028EC75" w14:textId="77777777" w:rsidR="00F16479" w:rsidRPr="00687093" w:rsidRDefault="00F16479">
            <w:pPr>
              <w:spacing w:line="240" w:lineRule="auto"/>
              <w:rPr>
                <w:rFonts w:ascii="Times New Roman" w:hAnsi="Times New Roman"/>
                <w:color w:val="000000"/>
                <w:sz w:val="20"/>
                <w:szCs w:val="20"/>
              </w:rPr>
            </w:pPr>
          </w:p>
          <w:p w14:paraId="2D042098" w14:textId="77777777" w:rsidR="0043073C" w:rsidRPr="00903698" w:rsidRDefault="0043073C">
            <w:pPr>
              <w:spacing w:line="240" w:lineRule="auto"/>
              <w:rPr>
                <w:rFonts w:ascii="Times New Roman" w:hAnsi="Times New Roman"/>
                <w:color w:val="000000"/>
                <w:spacing w:val="-2"/>
                <w:sz w:val="20"/>
                <w:szCs w:val="20"/>
              </w:rPr>
            </w:pPr>
          </w:p>
        </w:tc>
        <w:tc>
          <w:tcPr>
            <w:tcW w:w="2292" w:type="dxa"/>
            <w:gridSpan w:val="8"/>
            <w:shd w:val="clear" w:color="auto" w:fill="auto"/>
          </w:tcPr>
          <w:p w14:paraId="126323C4" w14:textId="473CD7C9" w:rsidR="006A571D" w:rsidRPr="00687093" w:rsidRDefault="0072174C">
            <w:pPr>
              <w:spacing w:line="240" w:lineRule="auto"/>
              <w:rPr>
                <w:rFonts w:ascii="Times New Roman" w:hAnsi="Times New Roman"/>
                <w:color w:val="000000"/>
                <w:spacing w:val="-2"/>
                <w:sz w:val="20"/>
                <w:szCs w:val="20"/>
              </w:rPr>
            </w:pPr>
            <w:r w:rsidRPr="00687093">
              <w:rPr>
                <w:rFonts w:ascii="Times New Roman" w:eastAsia="Times New Roman" w:hAnsi="Times New Roman"/>
                <w:sz w:val="20"/>
                <w:szCs w:val="20"/>
                <w:lang w:eastAsia="pl-PL"/>
              </w:rPr>
              <w:t>potencjalnie kilkaset jednostek</w:t>
            </w:r>
            <w:r w:rsidR="000837D2" w:rsidRPr="00687093">
              <w:rPr>
                <w:rFonts w:ascii="Times New Roman" w:eastAsia="Times New Roman" w:hAnsi="Times New Roman"/>
                <w:sz w:val="20"/>
                <w:szCs w:val="20"/>
                <w:lang w:eastAsia="pl-PL"/>
              </w:rPr>
              <w:t xml:space="preserve"> wytwórczych</w:t>
            </w:r>
          </w:p>
          <w:p w14:paraId="005FC0B1" w14:textId="77777777" w:rsidR="0043073C" w:rsidRPr="00687093" w:rsidRDefault="0043073C">
            <w:pPr>
              <w:spacing w:line="240" w:lineRule="auto"/>
              <w:rPr>
                <w:rFonts w:ascii="Times New Roman" w:hAnsi="Times New Roman"/>
                <w:color w:val="000000"/>
                <w:spacing w:val="-2"/>
                <w:sz w:val="20"/>
                <w:szCs w:val="20"/>
              </w:rPr>
            </w:pPr>
          </w:p>
        </w:tc>
        <w:tc>
          <w:tcPr>
            <w:tcW w:w="2300" w:type="dxa"/>
            <w:gridSpan w:val="10"/>
            <w:shd w:val="clear" w:color="auto" w:fill="auto"/>
          </w:tcPr>
          <w:p w14:paraId="746FF966" w14:textId="77777777" w:rsidR="0043073C" w:rsidRPr="00687093" w:rsidRDefault="008C54BC">
            <w:pPr>
              <w:tabs>
                <w:tab w:val="left" w:pos="1756"/>
              </w:tabs>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własne</w:t>
            </w:r>
            <w:r w:rsidR="0043073C" w:rsidRPr="00687093">
              <w:rPr>
                <w:rFonts w:ascii="Times New Roman" w:hAnsi="Times New Roman"/>
                <w:color w:val="000000"/>
                <w:spacing w:val="-2"/>
                <w:sz w:val="20"/>
                <w:szCs w:val="20"/>
              </w:rPr>
              <w:tab/>
            </w:r>
          </w:p>
          <w:p w14:paraId="06BFB99E" w14:textId="77777777" w:rsidR="0043073C" w:rsidRPr="00687093" w:rsidRDefault="0043073C">
            <w:pPr>
              <w:tabs>
                <w:tab w:val="left" w:pos="1756"/>
              </w:tabs>
              <w:spacing w:line="240" w:lineRule="auto"/>
              <w:rPr>
                <w:rFonts w:ascii="Times New Roman" w:hAnsi="Times New Roman"/>
                <w:color w:val="000000"/>
                <w:spacing w:val="-2"/>
                <w:sz w:val="20"/>
                <w:szCs w:val="20"/>
              </w:rPr>
            </w:pPr>
          </w:p>
          <w:p w14:paraId="04409222" w14:textId="77777777" w:rsidR="0043073C" w:rsidRPr="00687093" w:rsidRDefault="0043073C">
            <w:pPr>
              <w:spacing w:line="240" w:lineRule="auto"/>
              <w:rPr>
                <w:rFonts w:ascii="Times New Roman" w:eastAsia="Times New Roman" w:hAnsi="Times New Roman"/>
                <w:sz w:val="20"/>
                <w:szCs w:val="20"/>
                <w:lang w:eastAsia="pl-PL"/>
              </w:rPr>
            </w:pPr>
          </w:p>
          <w:p w14:paraId="3C32CA84" w14:textId="77777777" w:rsidR="0043073C" w:rsidRPr="00687093" w:rsidRDefault="0043073C">
            <w:pPr>
              <w:spacing w:line="240" w:lineRule="auto"/>
              <w:rPr>
                <w:rFonts w:ascii="Times New Roman" w:hAnsi="Times New Roman"/>
                <w:color w:val="000000"/>
                <w:spacing w:val="-2"/>
                <w:sz w:val="20"/>
                <w:szCs w:val="20"/>
              </w:rPr>
            </w:pPr>
          </w:p>
        </w:tc>
        <w:tc>
          <w:tcPr>
            <w:tcW w:w="3678" w:type="dxa"/>
            <w:gridSpan w:val="8"/>
            <w:shd w:val="clear" w:color="auto" w:fill="auto"/>
          </w:tcPr>
          <w:p w14:paraId="190C6F37" w14:textId="2CA51411" w:rsidR="0012527D" w:rsidRPr="00687093" w:rsidRDefault="0072174C">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Umożliwienie prowadzenia działalności gospodarczej - określenie zasad prowadzenia działalności gospodarczej w</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 xml:space="preserve">zakresie wytwarzania </w:t>
            </w:r>
            <w:proofErr w:type="spellStart"/>
            <w:r w:rsidRPr="00687093">
              <w:rPr>
                <w:rFonts w:ascii="Times New Roman" w:hAnsi="Times New Roman"/>
                <w:color w:val="000000"/>
                <w:spacing w:val="-2"/>
                <w:sz w:val="20"/>
                <w:szCs w:val="20"/>
              </w:rPr>
              <w:t>biometanu</w:t>
            </w:r>
            <w:proofErr w:type="spellEnd"/>
            <w:r w:rsidR="0012527D" w:rsidRPr="00687093">
              <w:rPr>
                <w:rFonts w:ascii="Times New Roman" w:hAnsi="Times New Roman"/>
                <w:color w:val="000000"/>
                <w:spacing w:val="-2"/>
                <w:sz w:val="20"/>
                <w:szCs w:val="20"/>
              </w:rPr>
              <w:t>.</w:t>
            </w:r>
          </w:p>
          <w:p w14:paraId="038FEB38" w14:textId="3DED987B" w:rsidR="0082679F" w:rsidRPr="00687093" w:rsidRDefault="000D08BB">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Umożliwienie korzystania z </w:t>
            </w:r>
            <w:r w:rsidR="0072174C" w:rsidRPr="00687093">
              <w:rPr>
                <w:rFonts w:ascii="Times New Roman" w:hAnsi="Times New Roman"/>
                <w:color w:val="000000"/>
                <w:spacing w:val="-2"/>
                <w:sz w:val="20"/>
                <w:szCs w:val="20"/>
              </w:rPr>
              <w:t>mechanizmów wsparcia</w:t>
            </w:r>
            <w:r w:rsidR="0012527D" w:rsidRPr="00687093">
              <w:rPr>
                <w:rFonts w:ascii="Times New Roman" w:hAnsi="Times New Roman"/>
                <w:color w:val="000000"/>
                <w:spacing w:val="-2"/>
                <w:sz w:val="20"/>
                <w:szCs w:val="20"/>
              </w:rPr>
              <w:t xml:space="preserve"> określonych w projekcie ustawy.</w:t>
            </w:r>
            <w:r w:rsidRPr="00687093">
              <w:rPr>
                <w:rFonts w:ascii="Times New Roman" w:hAnsi="Times New Roman"/>
                <w:color w:val="000000"/>
                <w:spacing w:val="-2"/>
                <w:sz w:val="20"/>
                <w:szCs w:val="20"/>
              </w:rPr>
              <w:t xml:space="preserve"> </w:t>
            </w:r>
          </w:p>
        </w:tc>
      </w:tr>
      <w:tr w:rsidR="000837D2" w:rsidRPr="00687093" w14:paraId="55859F76" w14:textId="77777777" w:rsidTr="003D57D7">
        <w:trPr>
          <w:gridAfter w:val="1"/>
          <w:wAfter w:w="10" w:type="dxa"/>
          <w:trHeight w:val="142"/>
        </w:trPr>
        <w:tc>
          <w:tcPr>
            <w:tcW w:w="2667" w:type="dxa"/>
            <w:gridSpan w:val="3"/>
            <w:shd w:val="clear" w:color="auto" w:fill="auto"/>
          </w:tcPr>
          <w:p w14:paraId="733CE8C4" w14:textId="3358D8EE" w:rsidR="000837D2" w:rsidRPr="00687093" w:rsidRDefault="000837D2">
            <w:pPr>
              <w:spacing w:line="240" w:lineRule="auto"/>
              <w:rPr>
                <w:rFonts w:ascii="Times New Roman" w:hAnsi="Times New Roman"/>
                <w:color w:val="000000"/>
                <w:sz w:val="20"/>
                <w:szCs w:val="20"/>
              </w:rPr>
            </w:pPr>
            <w:r w:rsidRPr="00687093">
              <w:rPr>
                <w:rFonts w:ascii="Times New Roman" w:hAnsi="Times New Roman"/>
                <w:color w:val="000000"/>
                <w:sz w:val="20"/>
                <w:szCs w:val="20"/>
              </w:rPr>
              <w:t>Podmioty realizujące Narodowy Cel Wskaźnikowy</w:t>
            </w:r>
          </w:p>
        </w:tc>
        <w:tc>
          <w:tcPr>
            <w:tcW w:w="2292" w:type="dxa"/>
            <w:gridSpan w:val="8"/>
            <w:shd w:val="clear" w:color="auto" w:fill="auto"/>
          </w:tcPr>
          <w:p w14:paraId="02BA9AD2" w14:textId="6FE48A3A" w:rsidR="000837D2"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17</w:t>
            </w:r>
          </w:p>
        </w:tc>
        <w:tc>
          <w:tcPr>
            <w:tcW w:w="2300" w:type="dxa"/>
            <w:gridSpan w:val="10"/>
            <w:shd w:val="clear" w:color="auto" w:fill="auto"/>
          </w:tcPr>
          <w:p w14:paraId="4BD22841" w14:textId="79FBCAFD" w:rsidR="000837D2"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Sprawozdanie Prezesa URE za 2019 r.</w:t>
            </w:r>
          </w:p>
        </w:tc>
        <w:tc>
          <w:tcPr>
            <w:tcW w:w="3678" w:type="dxa"/>
            <w:gridSpan w:val="8"/>
            <w:shd w:val="clear" w:color="auto" w:fill="auto"/>
          </w:tcPr>
          <w:p w14:paraId="585F27C5" w14:textId="3EAE107E" w:rsidR="000837D2" w:rsidRPr="00687093" w:rsidRDefault="00F52D54">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Rozwój produkcji </w:t>
            </w:r>
            <w:proofErr w:type="spellStart"/>
            <w:r w:rsidRPr="00687093">
              <w:rPr>
                <w:rFonts w:ascii="Times New Roman" w:hAnsi="Times New Roman"/>
                <w:color w:val="000000"/>
                <w:spacing w:val="-2"/>
                <w:sz w:val="20"/>
                <w:szCs w:val="20"/>
              </w:rPr>
              <w:t>biometanu</w:t>
            </w:r>
            <w:proofErr w:type="spellEnd"/>
            <w:r w:rsidRPr="00687093">
              <w:rPr>
                <w:rFonts w:ascii="Times New Roman" w:hAnsi="Times New Roman"/>
                <w:color w:val="000000"/>
                <w:spacing w:val="-2"/>
                <w:sz w:val="20"/>
                <w:szCs w:val="20"/>
              </w:rPr>
              <w:t xml:space="preserve"> umożliwi szersze wykorzystanie tego paliwa do celów transportowych.</w:t>
            </w:r>
          </w:p>
        </w:tc>
      </w:tr>
      <w:tr w:rsidR="00927C6A" w:rsidRPr="00687093" w14:paraId="144F3499" w14:textId="77777777" w:rsidTr="003D57D7">
        <w:trPr>
          <w:gridAfter w:val="1"/>
          <w:wAfter w:w="10" w:type="dxa"/>
          <w:trHeight w:val="142"/>
        </w:trPr>
        <w:tc>
          <w:tcPr>
            <w:tcW w:w="2667" w:type="dxa"/>
            <w:gridSpan w:val="3"/>
            <w:shd w:val="clear" w:color="auto" w:fill="auto"/>
          </w:tcPr>
          <w:p w14:paraId="656CF34C" w14:textId="3F21F5B0" w:rsidR="00927C6A" w:rsidRPr="00687093" w:rsidRDefault="00927C6A">
            <w:pPr>
              <w:spacing w:line="240" w:lineRule="auto"/>
              <w:rPr>
                <w:rFonts w:ascii="Times New Roman" w:hAnsi="Times New Roman"/>
                <w:color w:val="000000"/>
                <w:sz w:val="20"/>
                <w:szCs w:val="20"/>
              </w:rPr>
            </w:pPr>
            <w:r w:rsidRPr="00687093">
              <w:rPr>
                <w:rFonts w:ascii="Times New Roman" w:hAnsi="Times New Roman"/>
                <w:color w:val="000000"/>
                <w:sz w:val="20"/>
                <w:szCs w:val="20"/>
              </w:rPr>
              <w:t>Operatorzy systemu gazowego</w:t>
            </w:r>
          </w:p>
        </w:tc>
        <w:tc>
          <w:tcPr>
            <w:tcW w:w="2292" w:type="dxa"/>
            <w:gridSpan w:val="8"/>
            <w:shd w:val="clear" w:color="auto" w:fill="auto"/>
          </w:tcPr>
          <w:p w14:paraId="1B0EF806" w14:textId="73DE27A0"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Wg </w:t>
            </w:r>
            <w:r w:rsidR="00A96718" w:rsidRPr="00687093">
              <w:rPr>
                <w:rFonts w:ascii="Times New Roman" w:eastAsia="Times New Roman" w:hAnsi="Times New Roman"/>
                <w:sz w:val="20"/>
                <w:szCs w:val="20"/>
                <w:lang w:eastAsia="pl-PL"/>
              </w:rPr>
              <w:t>s</w:t>
            </w:r>
            <w:r w:rsidRPr="00687093">
              <w:rPr>
                <w:rFonts w:ascii="Times New Roman" w:eastAsia="Times New Roman" w:hAnsi="Times New Roman"/>
                <w:sz w:val="20"/>
                <w:szCs w:val="20"/>
                <w:lang w:eastAsia="pl-PL"/>
              </w:rPr>
              <w:t>tanu na dzień 31.12.2019 r.:</w:t>
            </w:r>
          </w:p>
          <w:p w14:paraId="284DC823" w14:textId="77777777"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 ‒ operator systemu przesyłowego gazowego, </w:t>
            </w:r>
          </w:p>
          <w:p w14:paraId="4B03A4E8" w14:textId="5AE497A8"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53 operatorów systemów dystrybucyjnych gazowych (w tym jeden prawnie wydzielony),</w:t>
            </w:r>
            <w:r w:rsidR="00B21BBD">
              <w:rPr>
                <w:rFonts w:ascii="Times New Roman" w:eastAsia="Times New Roman" w:hAnsi="Times New Roman"/>
                <w:sz w:val="20"/>
                <w:szCs w:val="20"/>
                <w:lang w:eastAsia="pl-PL"/>
              </w:rPr>
              <w:t xml:space="preserve"> </w:t>
            </w:r>
          </w:p>
          <w:p w14:paraId="65DA28FA" w14:textId="77777777"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xml:space="preserve">‒ operator systemu magazynowania, </w:t>
            </w:r>
          </w:p>
          <w:p w14:paraId="1FBE9A1B" w14:textId="7D62F0B5"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 9 operatorów systemów skraplania gazu ziemnego</w:t>
            </w:r>
          </w:p>
        </w:tc>
        <w:tc>
          <w:tcPr>
            <w:tcW w:w="2300" w:type="dxa"/>
            <w:gridSpan w:val="10"/>
            <w:shd w:val="clear" w:color="auto" w:fill="auto"/>
          </w:tcPr>
          <w:p w14:paraId="6E2ABC12" w14:textId="458B5528"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Sprawozdanie Prezesa URE za 2019 r.</w:t>
            </w:r>
          </w:p>
        </w:tc>
        <w:tc>
          <w:tcPr>
            <w:tcW w:w="3678" w:type="dxa"/>
            <w:gridSpan w:val="8"/>
            <w:shd w:val="clear" w:color="auto" w:fill="auto"/>
          </w:tcPr>
          <w:p w14:paraId="1A29B741" w14:textId="53FF9B41"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Zwiększenie aktywności inwestorów w</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 xml:space="preserve">obszarze projektów </w:t>
            </w:r>
            <w:proofErr w:type="spellStart"/>
            <w:r w:rsidRPr="00687093">
              <w:rPr>
                <w:rFonts w:ascii="Times New Roman" w:hAnsi="Times New Roman"/>
                <w:color w:val="000000"/>
                <w:spacing w:val="-2"/>
                <w:sz w:val="20"/>
                <w:szCs w:val="20"/>
              </w:rPr>
              <w:t>biometanowych</w:t>
            </w:r>
            <w:proofErr w:type="spellEnd"/>
            <w:r w:rsidRPr="00687093">
              <w:rPr>
                <w:rFonts w:ascii="Times New Roman" w:hAnsi="Times New Roman"/>
                <w:color w:val="000000"/>
                <w:spacing w:val="-2"/>
                <w:sz w:val="20"/>
                <w:szCs w:val="20"/>
              </w:rPr>
              <w:t xml:space="preserve"> skutkujące wzrostem wniosków o udzielenie zgody na przyłączenie </w:t>
            </w:r>
            <w:proofErr w:type="spellStart"/>
            <w:r w:rsidRPr="00687093">
              <w:rPr>
                <w:rFonts w:ascii="Times New Roman" w:hAnsi="Times New Roman"/>
                <w:color w:val="000000"/>
                <w:spacing w:val="-2"/>
                <w:sz w:val="20"/>
                <w:szCs w:val="20"/>
              </w:rPr>
              <w:t>biometanowni</w:t>
            </w:r>
            <w:proofErr w:type="spellEnd"/>
            <w:r w:rsidRPr="00687093">
              <w:rPr>
                <w:rFonts w:ascii="Times New Roman" w:hAnsi="Times New Roman"/>
                <w:color w:val="000000"/>
                <w:spacing w:val="-2"/>
                <w:sz w:val="20"/>
                <w:szCs w:val="20"/>
              </w:rPr>
              <w:t xml:space="preserve"> do sieci gazowej.</w:t>
            </w:r>
          </w:p>
          <w:p w14:paraId="06D4BB2C" w14:textId="0FF3E69B" w:rsidR="0012527D" w:rsidRPr="00687093" w:rsidRDefault="0012527D">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Uwzględnienie w kosztach prowadzonej działalności kosztów związanych z</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 xml:space="preserve">utrzymaniem instalacji mających na celu zapewnienie integracji wytwórców </w:t>
            </w:r>
            <w:proofErr w:type="spellStart"/>
            <w:r w:rsidRPr="00687093">
              <w:rPr>
                <w:rFonts w:ascii="Times New Roman" w:hAnsi="Times New Roman"/>
                <w:color w:val="000000"/>
                <w:spacing w:val="-2"/>
                <w:sz w:val="20"/>
                <w:szCs w:val="20"/>
              </w:rPr>
              <w:t>biometanu</w:t>
            </w:r>
            <w:proofErr w:type="spellEnd"/>
            <w:r w:rsidRPr="00687093">
              <w:rPr>
                <w:rFonts w:ascii="Times New Roman" w:hAnsi="Times New Roman"/>
                <w:color w:val="000000"/>
                <w:spacing w:val="-2"/>
                <w:sz w:val="20"/>
                <w:szCs w:val="20"/>
              </w:rPr>
              <w:t xml:space="preserve"> z sieciami gazowymi.</w:t>
            </w:r>
          </w:p>
          <w:p w14:paraId="787DFC91" w14:textId="01CE31DD" w:rsidR="00F357E1" w:rsidRPr="00687093" w:rsidRDefault="00F357E1">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Dostosowanie funkcjonowania do utworzonego mechanizmu gwarancji pochodzenia dla </w:t>
            </w:r>
            <w:proofErr w:type="spellStart"/>
            <w:r w:rsidRPr="00687093">
              <w:rPr>
                <w:rFonts w:ascii="Times New Roman" w:hAnsi="Times New Roman"/>
                <w:color w:val="000000"/>
                <w:spacing w:val="-2"/>
                <w:sz w:val="20"/>
                <w:szCs w:val="20"/>
              </w:rPr>
              <w:t>biometanu</w:t>
            </w:r>
            <w:proofErr w:type="spellEnd"/>
            <w:r w:rsidRPr="00687093">
              <w:rPr>
                <w:rFonts w:ascii="Times New Roman" w:hAnsi="Times New Roman"/>
                <w:color w:val="000000"/>
                <w:spacing w:val="-2"/>
                <w:sz w:val="20"/>
                <w:szCs w:val="20"/>
              </w:rPr>
              <w:t>.</w:t>
            </w:r>
          </w:p>
        </w:tc>
      </w:tr>
      <w:tr w:rsidR="00927C6A" w:rsidRPr="00687093" w14:paraId="67AD40DC" w14:textId="77777777" w:rsidTr="003D57D7">
        <w:trPr>
          <w:gridAfter w:val="1"/>
          <w:wAfter w:w="10" w:type="dxa"/>
          <w:trHeight w:val="142"/>
        </w:trPr>
        <w:tc>
          <w:tcPr>
            <w:tcW w:w="2667" w:type="dxa"/>
            <w:gridSpan w:val="3"/>
            <w:shd w:val="clear" w:color="auto" w:fill="auto"/>
          </w:tcPr>
          <w:p w14:paraId="44DAB534" w14:textId="0C4B3823" w:rsidR="00927C6A" w:rsidRPr="00687093" w:rsidRDefault="004414F8">
            <w:pPr>
              <w:spacing w:line="240" w:lineRule="auto"/>
              <w:rPr>
                <w:rFonts w:ascii="Times New Roman" w:hAnsi="Times New Roman"/>
                <w:color w:val="000000"/>
                <w:sz w:val="20"/>
                <w:szCs w:val="20"/>
              </w:rPr>
            </w:pPr>
            <w:r>
              <w:rPr>
                <w:rFonts w:ascii="Times New Roman" w:hAnsi="Times New Roman"/>
                <w:color w:val="000000"/>
                <w:sz w:val="20"/>
                <w:szCs w:val="20"/>
              </w:rPr>
              <w:t>Kr</w:t>
            </w:r>
            <w:r w:rsidRPr="00687093">
              <w:rPr>
                <w:rFonts w:ascii="Times New Roman" w:hAnsi="Times New Roman"/>
                <w:color w:val="000000"/>
                <w:sz w:val="20"/>
                <w:szCs w:val="20"/>
              </w:rPr>
              <w:t xml:space="preserve">ajowy </w:t>
            </w:r>
            <w:r w:rsidR="00927C6A" w:rsidRPr="00687093">
              <w:rPr>
                <w:rFonts w:ascii="Times New Roman" w:hAnsi="Times New Roman"/>
                <w:color w:val="000000"/>
                <w:sz w:val="20"/>
                <w:szCs w:val="20"/>
              </w:rPr>
              <w:t>Ośrodek Wsparcia Rolnictwa</w:t>
            </w:r>
          </w:p>
        </w:tc>
        <w:tc>
          <w:tcPr>
            <w:tcW w:w="2292" w:type="dxa"/>
            <w:gridSpan w:val="8"/>
            <w:shd w:val="clear" w:color="auto" w:fill="auto"/>
          </w:tcPr>
          <w:p w14:paraId="156665F5" w14:textId="6B28E92D" w:rsidR="00927C6A" w:rsidRPr="00687093" w:rsidRDefault="00927C6A">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1</w:t>
            </w:r>
          </w:p>
        </w:tc>
        <w:tc>
          <w:tcPr>
            <w:tcW w:w="2300" w:type="dxa"/>
            <w:gridSpan w:val="10"/>
            <w:shd w:val="clear" w:color="auto" w:fill="auto"/>
          </w:tcPr>
          <w:p w14:paraId="14622838" w14:textId="5931709E" w:rsidR="00927C6A" w:rsidRPr="00687093" w:rsidRDefault="00927C6A">
            <w:pPr>
              <w:spacing w:line="240" w:lineRule="auto"/>
              <w:rPr>
                <w:rFonts w:ascii="Times New Roman" w:hAnsi="Times New Roman"/>
                <w:sz w:val="20"/>
                <w:szCs w:val="20"/>
              </w:rPr>
            </w:pPr>
            <w:r w:rsidRPr="00687093">
              <w:rPr>
                <w:rFonts w:ascii="Times New Roman" w:hAnsi="Times New Roman"/>
                <w:sz w:val="20"/>
                <w:szCs w:val="20"/>
              </w:rPr>
              <w:t>własne</w:t>
            </w:r>
          </w:p>
        </w:tc>
        <w:tc>
          <w:tcPr>
            <w:tcW w:w="3678" w:type="dxa"/>
            <w:gridSpan w:val="8"/>
            <w:shd w:val="clear" w:color="auto" w:fill="auto"/>
          </w:tcPr>
          <w:p w14:paraId="7414DC0E" w14:textId="3DEDCE4A"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Konieczność prowadzenia </w:t>
            </w:r>
            <w:r w:rsidR="0012527D" w:rsidRPr="00687093">
              <w:rPr>
                <w:rFonts w:ascii="Times New Roman" w:hAnsi="Times New Roman"/>
                <w:color w:val="000000"/>
                <w:spacing w:val="-2"/>
                <w:sz w:val="20"/>
                <w:szCs w:val="20"/>
              </w:rPr>
              <w:t xml:space="preserve">poszerzonego </w:t>
            </w:r>
            <w:r w:rsidRPr="00687093">
              <w:rPr>
                <w:rFonts w:ascii="Times New Roman" w:hAnsi="Times New Roman"/>
                <w:color w:val="000000"/>
                <w:spacing w:val="-2"/>
                <w:sz w:val="20"/>
                <w:szCs w:val="20"/>
              </w:rPr>
              <w:t>rejestru wytwórców biogazu rolniczego o</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 xml:space="preserve">instalacje wytwarzające </w:t>
            </w:r>
            <w:proofErr w:type="spellStart"/>
            <w:r w:rsidRPr="00687093">
              <w:rPr>
                <w:rFonts w:ascii="Times New Roman" w:hAnsi="Times New Roman"/>
                <w:color w:val="000000"/>
                <w:spacing w:val="-2"/>
                <w:sz w:val="20"/>
                <w:szCs w:val="20"/>
              </w:rPr>
              <w:t>biometan</w:t>
            </w:r>
            <w:proofErr w:type="spellEnd"/>
            <w:r w:rsidRPr="00687093">
              <w:rPr>
                <w:rFonts w:ascii="Times New Roman" w:hAnsi="Times New Roman"/>
                <w:color w:val="000000"/>
                <w:spacing w:val="-2"/>
                <w:sz w:val="20"/>
                <w:szCs w:val="20"/>
              </w:rPr>
              <w:t xml:space="preserve"> z</w:t>
            </w:r>
            <w:r w:rsidR="00492F80">
              <w:rPr>
                <w:rFonts w:ascii="Times New Roman" w:hAnsi="Times New Roman"/>
                <w:color w:val="000000"/>
                <w:spacing w:val="-2"/>
                <w:sz w:val="20"/>
                <w:szCs w:val="20"/>
              </w:rPr>
              <w:t> </w:t>
            </w:r>
            <w:r w:rsidRPr="00687093">
              <w:rPr>
                <w:rFonts w:ascii="Times New Roman" w:hAnsi="Times New Roman"/>
                <w:color w:val="000000"/>
                <w:spacing w:val="-2"/>
                <w:sz w:val="20"/>
                <w:szCs w:val="20"/>
              </w:rPr>
              <w:t>biogazu rolniczego.</w:t>
            </w:r>
          </w:p>
          <w:p w14:paraId="14ADB95F" w14:textId="48BDCF60" w:rsidR="00927C6A" w:rsidRPr="00687093" w:rsidRDefault="00927C6A">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 xml:space="preserve">Prowadzenie nadzoru nad przedsiębiorcami zajmującymi się wytwarzaniem </w:t>
            </w:r>
            <w:proofErr w:type="spellStart"/>
            <w:r w:rsidRPr="00687093">
              <w:rPr>
                <w:rFonts w:ascii="Times New Roman" w:hAnsi="Times New Roman"/>
                <w:color w:val="000000"/>
                <w:spacing w:val="-2"/>
                <w:sz w:val="20"/>
                <w:szCs w:val="20"/>
              </w:rPr>
              <w:t>biometanu</w:t>
            </w:r>
            <w:proofErr w:type="spellEnd"/>
            <w:r w:rsidRPr="00687093">
              <w:rPr>
                <w:rFonts w:ascii="Times New Roman" w:hAnsi="Times New Roman"/>
                <w:color w:val="000000"/>
                <w:spacing w:val="-2"/>
                <w:sz w:val="20"/>
                <w:szCs w:val="20"/>
              </w:rPr>
              <w:t xml:space="preserve"> z biogazu rolniczego.</w:t>
            </w:r>
          </w:p>
        </w:tc>
      </w:tr>
      <w:tr w:rsidR="00310480" w:rsidRPr="00687093" w14:paraId="0E159174" w14:textId="77777777" w:rsidTr="003D57D7">
        <w:trPr>
          <w:gridAfter w:val="1"/>
          <w:wAfter w:w="10" w:type="dxa"/>
          <w:trHeight w:val="142"/>
        </w:trPr>
        <w:tc>
          <w:tcPr>
            <w:tcW w:w="2667" w:type="dxa"/>
            <w:gridSpan w:val="3"/>
            <w:shd w:val="clear" w:color="auto" w:fill="auto"/>
          </w:tcPr>
          <w:p w14:paraId="294A6EA9" w14:textId="63C76E88" w:rsidR="00310480" w:rsidRPr="00687093" w:rsidRDefault="00310480">
            <w:pPr>
              <w:spacing w:line="240" w:lineRule="auto"/>
              <w:rPr>
                <w:rFonts w:ascii="Times New Roman" w:hAnsi="Times New Roman"/>
                <w:color w:val="000000"/>
                <w:sz w:val="20"/>
                <w:szCs w:val="20"/>
              </w:rPr>
            </w:pPr>
            <w:r w:rsidRPr="00687093">
              <w:rPr>
                <w:rFonts w:ascii="Times New Roman" w:hAnsi="Times New Roman"/>
                <w:color w:val="000000"/>
                <w:sz w:val="20"/>
                <w:szCs w:val="20"/>
              </w:rPr>
              <w:t>Klastry energii</w:t>
            </w:r>
          </w:p>
        </w:tc>
        <w:tc>
          <w:tcPr>
            <w:tcW w:w="2292" w:type="dxa"/>
            <w:gridSpan w:val="8"/>
            <w:shd w:val="clear" w:color="auto" w:fill="auto"/>
          </w:tcPr>
          <w:p w14:paraId="27842555" w14:textId="390E34C6" w:rsidR="00310480" w:rsidRPr="00687093" w:rsidRDefault="00310480">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66 funkcjonujących + 21 inicjatyw</w:t>
            </w:r>
          </w:p>
        </w:tc>
        <w:tc>
          <w:tcPr>
            <w:tcW w:w="2300" w:type="dxa"/>
            <w:gridSpan w:val="10"/>
            <w:shd w:val="clear" w:color="auto" w:fill="auto"/>
          </w:tcPr>
          <w:p w14:paraId="139902DA" w14:textId="2954588F" w:rsidR="00310480" w:rsidRPr="00687093" w:rsidRDefault="00310480">
            <w:pPr>
              <w:tabs>
                <w:tab w:val="left" w:pos="1756"/>
              </w:tabs>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Krajowa Izba Klastrów Energii</w:t>
            </w:r>
          </w:p>
        </w:tc>
        <w:tc>
          <w:tcPr>
            <w:tcW w:w="3678" w:type="dxa"/>
            <w:gridSpan w:val="8"/>
            <w:shd w:val="clear" w:color="auto" w:fill="auto"/>
          </w:tcPr>
          <w:p w14:paraId="700F17EB" w14:textId="007F494F" w:rsidR="00310480" w:rsidRPr="00687093" w:rsidRDefault="00310480">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Możliwość wykorzystania instrumentów wsparcia przewidzianych w przepisach projekt</w:t>
            </w:r>
            <w:r w:rsidR="0097714F">
              <w:rPr>
                <w:rFonts w:ascii="Times New Roman" w:hAnsi="Times New Roman"/>
                <w:color w:val="000000"/>
                <w:spacing w:val="-2"/>
                <w:sz w:val="20"/>
                <w:szCs w:val="20"/>
              </w:rPr>
              <w:t>owanej ustawy pod warunkiem dokonania wpisu do rejestru klastrów energii oraz spełnienia szczegółowych wymagań określonych w projektowanych przepisach.</w:t>
            </w:r>
          </w:p>
        </w:tc>
      </w:tr>
      <w:tr w:rsidR="00682157" w:rsidRPr="00687093" w14:paraId="7950085C" w14:textId="77777777" w:rsidTr="003D57D7">
        <w:trPr>
          <w:gridAfter w:val="1"/>
          <w:wAfter w:w="10" w:type="dxa"/>
          <w:trHeight w:val="142"/>
        </w:trPr>
        <w:tc>
          <w:tcPr>
            <w:tcW w:w="2667" w:type="dxa"/>
            <w:gridSpan w:val="3"/>
            <w:shd w:val="clear" w:color="auto" w:fill="auto"/>
          </w:tcPr>
          <w:p w14:paraId="0036BD1A" w14:textId="07A2A8C4" w:rsidR="00682157" w:rsidRPr="008B2187" w:rsidRDefault="00682157" w:rsidP="00682157">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posiadające koncesję na obrót lub wytwarzanie ciepła, w tym ciepła w kogeneracji</w:t>
            </w:r>
          </w:p>
        </w:tc>
        <w:tc>
          <w:tcPr>
            <w:tcW w:w="2292" w:type="dxa"/>
            <w:gridSpan w:val="8"/>
            <w:shd w:val="clear" w:color="auto" w:fill="auto"/>
          </w:tcPr>
          <w:p w14:paraId="4F013495" w14:textId="06310CBF" w:rsidR="00682157" w:rsidRPr="00343DD3" w:rsidRDefault="00682157" w:rsidP="00682157">
            <w:pPr>
              <w:spacing w:line="240" w:lineRule="auto"/>
              <w:rPr>
                <w:rFonts w:ascii="Times New Roman" w:eastAsia="Times New Roman" w:hAnsi="Times New Roman"/>
                <w:sz w:val="20"/>
                <w:szCs w:val="20"/>
                <w:lang w:eastAsia="pl-PL"/>
              </w:rPr>
            </w:pPr>
            <w:r w:rsidRPr="00FF3759">
              <w:rPr>
                <w:rFonts w:ascii="Times New Roman" w:eastAsia="Times New Roman" w:hAnsi="Times New Roman"/>
                <w:sz w:val="20"/>
                <w:szCs w:val="20"/>
                <w:lang w:eastAsia="pl-PL"/>
              </w:rPr>
              <w:t>Ogółem 396 przedsiębiorstw koncesjonowanych</w:t>
            </w:r>
          </w:p>
        </w:tc>
        <w:tc>
          <w:tcPr>
            <w:tcW w:w="2300" w:type="dxa"/>
            <w:gridSpan w:val="10"/>
            <w:shd w:val="clear" w:color="auto" w:fill="auto"/>
          </w:tcPr>
          <w:p w14:paraId="7C4B236D" w14:textId="22C2AEF1" w:rsidR="00682157" w:rsidRPr="00FB4E07" w:rsidRDefault="00682157" w:rsidP="00682157">
            <w:pPr>
              <w:tabs>
                <w:tab w:val="left" w:pos="1756"/>
              </w:tabs>
              <w:spacing w:line="240" w:lineRule="auto"/>
              <w:rPr>
                <w:rFonts w:ascii="Times New Roman" w:hAnsi="Times New Roman"/>
                <w:color w:val="000000"/>
                <w:spacing w:val="-2"/>
                <w:sz w:val="20"/>
                <w:szCs w:val="20"/>
              </w:rPr>
            </w:pPr>
            <w:r w:rsidRPr="00343DD3">
              <w:rPr>
                <w:rFonts w:ascii="Times New Roman" w:hAnsi="Times New Roman"/>
                <w:color w:val="000000"/>
                <w:spacing w:val="-2"/>
                <w:sz w:val="20"/>
                <w:szCs w:val="20"/>
              </w:rPr>
              <w:t>Urząd Regulacji Energetyki, Energetyka cieplna w liczbach 2019</w:t>
            </w:r>
          </w:p>
        </w:tc>
        <w:tc>
          <w:tcPr>
            <w:tcW w:w="3678" w:type="dxa"/>
            <w:gridSpan w:val="8"/>
            <w:shd w:val="clear" w:color="auto" w:fill="auto"/>
          </w:tcPr>
          <w:p w14:paraId="699AF904" w14:textId="5E2C8A9C" w:rsidR="00682157" w:rsidRPr="001551A5" w:rsidRDefault="00682157" w:rsidP="00682157">
            <w:pPr>
              <w:spacing w:line="240" w:lineRule="auto"/>
              <w:rPr>
                <w:rFonts w:ascii="Times New Roman" w:hAnsi="Times New Roman"/>
                <w:color w:val="000000"/>
                <w:spacing w:val="-2"/>
                <w:sz w:val="20"/>
                <w:szCs w:val="20"/>
              </w:rPr>
            </w:pPr>
          </w:p>
        </w:tc>
      </w:tr>
      <w:tr w:rsidR="001B5FE3" w:rsidRPr="00687093" w14:paraId="236B9732" w14:textId="77777777" w:rsidTr="003D57D7">
        <w:trPr>
          <w:gridAfter w:val="1"/>
          <w:wAfter w:w="10" w:type="dxa"/>
          <w:trHeight w:val="142"/>
        </w:trPr>
        <w:tc>
          <w:tcPr>
            <w:tcW w:w="2667" w:type="dxa"/>
            <w:gridSpan w:val="3"/>
            <w:shd w:val="clear" w:color="auto" w:fill="auto"/>
          </w:tcPr>
          <w:p w14:paraId="3961C860" w14:textId="4960A541"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wytwarzające ciepło z OZE</w:t>
            </w:r>
          </w:p>
        </w:tc>
        <w:tc>
          <w:tcPr>
            <w:tcW w:w="2292" w:type="dxa"/>
            <w:gridSpan w:val="8"/>
            <w:shd w:val="clear" w:color="auto" w:fill="auto"/>
          </w:tcPr>
          <w:p w14:paraId="7750CB9C" w14:textId="77777777" w:rsidR="001B5FE3" w:rsidRPr="008B2187" w:rsidRDefault="001B5FE3" w:rsidP="001B5FE3">
            <w:pPr>
              <w:spacing w:line="240" w:lineRule="auto"/>
              <w:rPr>
                <w:rFonts w:ascii="Times New Roman" w:eastAsia="Times New Roman" w:hAnsi="Times New Roman"/>
                <w:sz w:val="20"/>
                <w:szCs w:val="20"/>
                <w:lang w:eastAsia="pl-PL"/>
              </w:rPr>
            </w:pPr>
          </w:p>
        </w:tc>
        <w:tc>
          <w:tcPr>
            <w:tcW w:w="2300" w:type="dxa"/>
            <w:gridSpan w:val="10"/>
            <w:shd w:val="clear" w:color="auto" w:fill="auto"/>
          </w:tcPr>
          <w:p w14:paraId="71A01D79" w14:textId="68E13BB7"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i/>
                <w:iCs/>
                <w:color w:val="000000"/>
                <w:spacing w:val="-2"/>
                <w:sz w:val="20"/>
                <w:szCs w:val="20"/>
              </w:rPr>
              <w:t>Energetyka cieplna w liczbach 2019</w:t>
            </w:r>
            <w:r w:rsidRPr="00D12317">
              <w:rPr>
                <w:rFonts w:ascii="Times New Roman" w:hAnsi="Times New Roman"/>
                <w:color w:val="000000"/>
                <w:spacing w:val="-2"/>
                <w:sz w:val="20"/>
                <w:szCs w:val="20"/>
              </w:rPr>
              <w:t xml:space="preserve"> – publikacja Prezesa Urzędu Regulacji Energetyki</w:t>
            </w:r>
          </w:p>
        </w:tc>
        <w:tc>
          <w:tcPr>
            <w:tcW w:w="3678" w:type="dxa"/>
            <w:gridSpan w:val="8"/>
            <w:shd w:val="clear" w:color="auto" w:fill="auto"/>
          </w:tcPr>
          <w:p w14:paraId="2697AA43" w14:textId="27CBAEB2"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Możliwość uzyskania gwarancji pochodzenia energii</w:t>
            </w:r>
            <w:r w:rsidR="005148C3">
              <w:rPr>
                <w:rFonts w:ascii="Times New Roman" w:hAnsi="Times New Roman"/>
                <w:color w:val="000000"/>
                <w:spacing w:val="-2"/>
                <w:sz w:val="20"/>
                <w:szCs w:val="20"/>
              </w:rPr>
              <w:t>.</w:t>
            </w:r>
          </w:p>
        </w:tc>
      </w:tr>
      <w:tr w:rsidR="001B5FE3" w:rsidRPr="00687093" w14:paraId="6D806B66" w14:textId="77777777" w:rsidTr="003D57D7">
        <w:trPr>
          <w:gridAfter w:val="1"/>
          <w:wAfter w:w="10" w:type="dxa"/>
          <w:trHeight w:val="142"/>
        </w:trPr>
        <w:tc>
          <w:tcPr>
            <w:tcW w:w="2667" w:type="dxa"/>
            <w:gridSpan w:val="3"/>
            <w:shd w:val="clear" w:color="auto" w:fill="auto"/>
          </w:tcPr>
          <w:p w14:paraId="0A0178FE" w14:textId="1A1A55BD"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Podmioty posiadające koncesję na dystrybucję lub przesyłania ciepła</w:t>
            </w:r>
          </w:p>
        </w:tc>
        <w:tc>
          <w:tcPr>
            <w:tcW w:w="2292" w:type="dxa"/>
            <w:gridSpan w:val="8"/>
            <w:shd w:val="clear" w:color="auto" w:fill="auto"/>
          </w:tcPr>
          <w:p w14:paraId="758B51DB" w14:textId="7F57F691"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ok. 360 przedsiębiorstw koncesjonowanych</w:t>
            </w:r>
          </w:p>
        </w:tc>
        <w:tc>
          <w:tcPr>
            <w:tcW w:w="2300" w:type="dxa"/>
            <w:gridSpan w:val="10"/>
            <w:shd w:val="clear" w:color="auto" w:fill="auto"/>
          </w:tcPr>
          <w:p w14:paraId="7CD0377D" w14:textId="6C9B20BE"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sz w:val="20"/>
                <w:szCs w:val="20"/>
              </w:rPr>
              <w:t xml:space="preserve">Urząd Regulacji Energetyki, </w:t>
            </w:r>
            <w:r w:rsidRPr="00D12317">
              <w:rPr>
                <w:rFonts w:ascii="Times New Roman" w:hAnsi="Times New Roman"/>
                <w:i/>
                <w:sz w:val="20"/>
                <w:szCs w:val="20"/>
              </w:rPr>
              <w:t>Energetyka cieplna w liczbach 2019</w:t>
            </w:r>
          </w:p>
        </w:tc>
        <w:tc>
          <w:tcPr>
            <w:tcW w:w="3678" w:type="dxa"/>
            <w:gridSpan w:val="8"/>
            <w:shd w:val="clear" w:color="auto" w:fill="auto"/>
          </w:tcPr>
          <w:p w14:paraId="5AEDBD34" w14:textId="4BF99B4F"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Obowiązek przyłączenia do sieci ciepłowniczej zakupu ciepła z OZE</w:t>
            </w:r>
            <w:r w:rsidR="005148C3">
              <w:rPr>
                <w:rFonts w:ascii="Times New Roman" w:hAnsi="Times New Roman"/>
                <w:color w:val="000000"/>
                <w:spacing w:val="-2"/>
                <w:sz w:val="20"/>
                <w:szCs w:val="20"/>
              </w:rPr>
              <w:t>.</w:t>
            </w:r>
          </w:p>
        </w:tc>
      </w:tr>
      <w:tr w:rsidR="001B5FE3" w:rsidRPr="00687093" w14:paraId="48C18B07" w14:textId="77777777" w:rsidTr="003D57D7">
        <w:trPr>
          <w:gridAfter w:val="1"/>
          <w:wAfter w:w="10" w:type="dxa"/>
          <w:trHeight w:val="142"/>
        </w:trPr>
        <w:tc>
          <w:tcPr>
            <w:tcW w:w="2667" w:type="dxa"/>
            <w:gridSpan w:val="3"/>
            <w:shd w:val="clear" w:color="auto" w:fill="auto"/>
          </w:tcPr>
          <w:p w14:paraId="3F0C5878" w14:textId="4CB9A121"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Końcowi odbiorcy ciepła, którzy zawali umowę zakupu ciepła z przedsiębiorstwem koncesjonowanym</w:t>
            </w:r>
          </w:p>
        </w:tc>
        <w:tc>
          <w:tcPr>
            <w:tcW w:w="2292" w:type="dxa"/>
            <w:gridSpan w:val="8"/>
            <w:shd w:val="clear" w:color="auto" w:fill="auto"/>
          </w:tcPr>
          <w:p w14:paraId="57AACF01" w14:textId="08674529"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Liczba trudna do ustalenia</w:t>
            </w:r>
          </w:p>
        </w:tc>
        <w:tc>
          <w:tcPr>
            <w:tcW w:w="2300" w:type="dxa"/>
            <w:gridSpan w:val="10"/>
            <w:shd w:val="clear" w:color="auto" w:fill="auto"/>
          </w:tcPr>
          <w:p w14:paraId="4ED44A48" w14:textId="77777777" w:rsidR="001B5FE3" w:rsidRPr="00FF3759"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CD4E505" w14:textId="77777777" w:rsidR="001B5FE3" w:rsidRPr="00D1231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Prawo do odłączenia od nieefektywnych systemów energetycznych;</w:t>
            </w:r>
          </w:p>
          <w:p w14:paraId="41327BBB" w14:textId="41C80BD4"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color w:val="000000"/>
                <w:spacing w:val="-2"/>
                <w:sz w:val="20"/>
                <w:szCs w:val="20"/>
              </w:rPr>
              <w:t>Ograniczenie możliwości odłączenia od efektywnych systemów energetycznych</w:t>
            </w:r>
            <w:r w:rsidR="005148C3">
              <w:rPr>
                <w:rFonts w:ascii="Times New Roman" w:hAnsi="Times New Roman"/>
                <w:color w:val="000000"/>
                <w:spacing w:val="-2"/>
                <w:sz w:val="20"/>
                <w:szCs w:val="20"/>
              </w:rPr>
              <w:t>.</w:t>
            </w:r>
          </w:p>
        </w:tc>
      </w:tr>
      <w:tr w:rsidR="001B5FE3" w:rsidRPr="00687093" w14:paraId="2A0FCA26" w14:textId="77777777" w:rsidTr="003D57D7">
        <w:trPr>
          <w:gridAfter w:val="1"/>
          <w:wAfter w:w="10" w:type="dxa"/>
          <w:trHeight w:val="142"/>
        </w:trPr>
        <w:tc>
          <w:tcPr>
            <w:tcW w:w="2667" w:type="dxa"/>
            <w:gridSpan w:val="3"/>
            <w:shd w:val="clear" w:color="auto" w:fill="auto"/>
          </w:tcPr>
          <w:p w14:paraId="07DCE493" w14:textId="3CB54B64"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Wytwórcy ciepła w instalacjach spalania wielopaliwowego</w:t>
            </w:r>
          </w:p>
        </w:tc>
        <w:tc>
          <w:tcPr>
            <w:tcW w:w="2292" w:type="dxa"/>
            <w:gridSpan w:val="8"/>
            <w:shd w:val="clear" w:color="auto" w:fill="auto"/>
          </w:tcPr>
          <w:p w14:paraId="40399F23" w14:textId="2AAAD6B2"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 xml:space="preserve">Kilkadziesiąt podmiotów, których liczbę trudno ustalić ze względu na dynamicznie </w:t>
            </w:r>
            <w:r w:rsidRPr="00D12317">
              <w:rPr>
                <w:rFonts w:ascii="Times New Roman" w:hAnsi="Times New Roman"/>
                <w:color w:val="000000"/>
                <w:spacing w:val="-2"/>
                <w:sz w:val="20"/>
                <w:szCs w:val="20"/>
              </w:rPr>
              <w:lastRenderedPageBreak/>
              <w:t>podejmowane przez wytwórców decyzje o współspalaniu.</w:t>
            </w:r>
          </w:p>
        </w:tc>
        <w:tc>
          <w:tcPr>
            <w:tcW w:w="2300" w:type="dxa"/>
            <w:gridSpan w:val="10"/>
            <w:shd w:val="clear" w:color="auto" w:fill="auto"/>
          </w:tcPr>
          <w:p w14:paraId="7D9AE358" w14:textId="76FB42DA" w:rsidR="001B5FE3" w:rsidRPr="008B2187" w:rsidRDefault="001B5FE3" w:rsidP="001B5FE3">
            <w:pPr>
              <w:tabs>
                <w:tab w:val="left" w:pos="1756"/>
              </w:tabs>
              <w:spacing w:line="240" w:lineRule="auto"/>
              <w:rPr>
                <w:rFonts w:ascii="Times New Roman" w:hAnsi="Times New Roman"/>
                <w:color w:val="000000"/>
                <w:spacing w:val="-2"/>
                <w:sz w:val="20"/>
                <w:szCs w:val="20"/>
              </w:rPr>
            </w:pPr>
            <w:r w:rsidRPr="00D12317">
              <w:rPr>
                <w:rFonts w:ascii="Times New Roman" w:hAnsi="Times New Roman"/>
                <w:sz w:val="20"/>
                <w:szCs w:val="20"/>
              </w:rPr>
              <w:lastRenderedPageBreak/>
              <w:t>Opracowanie własne</w:t>
            </w:r>
          </w:p>
        </w:tc>
        <w:tc>
          <w:tcPr>
            <w:tcW w:w="3678" w:type="dxa"/>
            <w:gridSpan w:val="8"/>
            <w:shd w:val="clear" w:color="auto" w:fill="auto"/>
          </w:tcPr>
          <w:p w14:paraId="3A109ACF" w14:textId="327A8D99"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Objęcie obowiązkiem przyłączenia do sieci ciepłowniczej</w:t>
            </w:r>
            <w:r w:rsidR="005148C3">
              <w:rPr>
                <w:rFonts w:ascii="Times New Roman" w:hAnsi="Times New Roman"/>
                <w:sz w:val="20"/>
                <w:szCs w:val="20"/>
              </w:rPr>
              <w:t>.</w:t>
            </w:r>
          </w:p>
        </w:tc>
      </w:tr>
      <w:tr w:rsidR="001B5FE3" w:rsidRPr="00687093" w14:paraId="35E5DAD2" w14:textId="77777777" w:rsidTr="003D57D7">
        <w:trPr>
          <w:gridAfter w:val="1"/>
          <w:wAfter w:w="10" w:type="dxa"/>
          <w:trHeight w:val="142"/>
        </w:trPr>
        <w:tc>
          <w:tcPr>
            <w:tcW w:w="2667" w:type="dxa"/>
            <w:gridSpan w:val="3"/>
            <w:shd w:val="clear" w:color="auto" w:fill="auto"/>
          </w:tcPr>
          <w:p w14:paraId="058FC7E0" w14:textId="121A0968" w:rsidR="001B5FE3" w:rsidRPr="00D12317" w:rsidRDefault="001B5FE3" w:rsidP="001B5FE3">
            <w:pPr>
              <w:spacing w:line="240" w:lineRule="auto"/>
              <w:rPr>
                <w:rFonts w:ascii="Times New Roman" w:hAnsi="Times New Roman"/>
                <w:color w:val="000000"/>
                <w:sz w:val="20"/>
                <w:szCs w:val="20"/>
              </w:rPr>
            </w:pPr>
            <w:r w:rsidRPr="00D12317">
              <w:rPr>
                <w:rFonts w:ascii="Times New Roman" w:hAnsi="Times New Roman"/>
                <w:color w:val="000000"/>
                <w:sz w:val="20"/>
                <w:szCs w:val="20"/>
              </w:rPr>
              <w:t>Instalacje Termicznego Przekształcania Odpadów</w:t>
            </w:r>
          </w:p>
        </w:tc>
        <w:tc>
          <w:tcPr>
            <w:tcW w:w="2292" w:type="dxa"/>
            <w:gridSpan w:val="8"/>
            <w:shd w:val="clear" w:color="auto" w:fill="auto"/>
          </w:tcPr>
          <w:p w14:paraId="305E75A9" w14:textId="2296E84C" w:rsidR="001B5FE3" w:rsidRPr="00D12317" w:rsidRDefault="00425E0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8</w:t>
            </w:r>
            <w:r w:rsidR="001B5FE3" w:rsidRPr="00D12317">
              <w:rPr>
                <w:rFonts w:ascii="Times New Roman" w:hAnsi="Times New Roman"/>
                <w:color w:val="000000"/>
                <w:spacing w:val="-2"/>
                <w:sz w:val="20"/>
                <w:szCs w:val="20"/>
              </w:rPr>
              <w:t xml:space="preserve"> funkcjonujących zakładów </w:t>
            </w:r>
          </w:p>
          <w:p w14:paraId="77F38402" w14:textId="0BE7989A" w:rsidR="001B5FE3" w:rsidRPr="008B2187" w:rsidRDefault="001B5FE3" w:rsidP="001B5FE3">
            <w:pPr>
              <w:spacing w:line="240" w:lineRule="auto"/>
              <w:rPr>
                <w:rFonts w:ascii="Times New Roman" w:eastAsia="Times New Roman" w:hAnsi="Times New Roman"/>
                <w:sz w:val="20"/>
                <w:szCs w:val="20"/>
                <w:lang w:eastAsia="pl-PL"/>
              </w:rPr>
            </w:pPr>
            <w:r w:rsidRPr="00D12317">
              <w:rPr>
                <w:rFonts w:ascii="Times New Roman" w:hAnsi="Times New Roman"/>
                <w:color w:val="000000"/>
                <w:spacing w:val="-2"/>
                <w:sz w:val="20"/>
                <w:szCs w:val="20"/>
              </w:rPr>
              <w:t>Instalacji Termicznego Przekształcania Odpadów Komunalnych</w:t>
            </w:r>
          </w:p>
        </w:tc>
        <w:tc>
          <w:tcPr>
            <w:tcW w:w="2300" w:type="dxa"/>
            <w:gridSpan w:val="10"/>
            <w:shd w:val="clear" w:color="auto" w:fill="auto"/>
          </w:tcPr>
          <w:p w14:paraId="30DD208F" w14:textId="303BD1C8" w:rsidR="005F1C85" w:rsidRPr="00AE2082" w:rsidRDefault="005F1C85" w:rsidP="00425E03">
            <w:pPr>
              <w:spacing w:line="240" w:lineRule="auto"/>
              <w:rPr>
                <w:rFonts w:ascii="Times New Roman" w:hAnsi="Times New Roman"/>
                <w:sz w:val="20"/>
                <w:szCs w:val="20"/>
              </w:rPr>
            </w:pPr>
            <w:r w:rsidRPr="00AE2082">
              <w:rPr>
                <w:rFonts w:ascii="Times New Roman" w:hAnsi="Times New Roman"/>
                <w:sz w:val="20"/>
                <w:szCs w:val="20"/>
              </w:rPr>
              <w:t>Załącznik 3 do Krajowego Planu Gospodarki Odpadami:</w:t>
            </w:r>
          </w:p>
          <w:p w14:paraId="06ACD881" w14:textId="77777777" w:rsidR="005F1C85" w:rsidRDefault="005F1C85" w:rsidP="00425E03">
            <w:pPr>
              <w:spacing w:line="240" w:lineRule="auto"/>
            </w:pPr>
          </w:p>
          <w:p w14:paraId="755D0AB0" w14:textId="6F14DE4D" w:rsidR="008651C9" w:rsidRDefault="0042778E" w:rsidP="00425E03">
            <w:pPr>
              <w:spacing w:line="240" w:lineRule="auto"/>
            </w:pPr>
            <w:hyperlink r:id="rId18" w:history="1">
              <w:r w:rsidR="005F1C85" w:rsidRPr="005F1C85">
                <w:rPr>
                  <w:rStyle w:val="Hipercze"/>
                </w:rPr>
                <w:t>https://bip.mos.gov.pl/strategie-plany-programy/krajowy-plan-gospodarki-odpadami/sprawozdania-z-realizacji-krajowego-planu-gospodarki-odpadami/</w:t>
              </w:r>
            </w:hyperlink>
          </w:p>
          <w:p w14:paraId="28E050CA" w14:textId="77777777" w:rsidR="008651C9" w:rsidRDefault="008651C9" w:rsidP="00425E03">
            <w:pPr>
              <w:spacing w:line="240" w:lineRule="auto"/>
              <w:rPr>
                <w:rFonts w:ascii="Times New Roman" w:hAnsi="Times New Roman"/>
                <w:sz w:val="20"/>
                <w:szCs w:val="20"/>
              </w:rPr>
            </w:pPr>
          </w:p>
          <w:p w14:paraId="541C444D" w14:textId="31B66CE1" w:rsidR="001B5FE3" w:rsidRPr="008B2187" w:rsidRDefault="0042778E" w:rsidP="001B5FE3">
            <w:pPr>
              <w:tabs>
                <w:tab w:val="left" w:pos="1756"/>
              </w:tabs>
              <w:spacing w:line="240" w:lineRule="auto"/>
              <w:rPr>
                <w:rFonts w:ascii="Times New Roman" w:hAnsi="Times New Roman"/>
                <w:color w:val="000000"/>
                <w:spacing w:val="-2"/>
                <w:sz w:val="20"/>
                <w:szCs w:val="20"/>
              </w:rPr>
            </w:pPr>
            <w:hyperlink w:history="1"/>
          </w:p>
        </w:tc>
        <w:tc>
          <w:tcPr>
            <w:tcW w:w="3678" w:type="dxa"/>
            <w:gridSpan w:val="8"/>
            <w:shd w:val="clear" w:color="auto" w:fill="auto"/>
          </w:tcPr>
          <w:p w14:paraId="5B751650" w14:textId="41420572" w:rsidR="001B5FE3" w:rsidRPr="008B2187" w:rsidRDefault="001B5FE3"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Ograniczenie obowiązku zakupu energii przez przedsiębiorstwa ciepłownicze do wielkości produkcji z odnawialnych źródeł energii;</w:t>
            </w:r>
          </w:p>
        </w:tc>
      </w:tr>
      <w:tr w:rsidR="001B5FE3" w:rsidRPr="00687093" w14:paraId="7A51ED3A" w14:textId="77777777" w:rsidTr="003D57D7">
        <w:trPr>
          <w:gridAfter w:val="1"/>
          <w:wAfter w:w="10" w:type="dxa"/>
          <w:trHeight w:val="142"/>
        </w:trPr>
        <w:tc>
          <w:tcPr>
            <w:tcW w:w="2667" w:type="dxa"/>
            <w:gridSpan w:val="3"/>
            <w:shd w:val="clear" w:color="auto" w:fill="auto"/>
          </w:tcPr>
          <w:p w14:paraId="4421A010" w14:textId="77777777" w:rsidR="005D4DC1" w:rsidRPr="005D4DC1" w:rsidRDefault="005D4DC1" w:rsidP="005D4DC1">
            <w:pPr>
              <w:spacing w:line="240" w:lineRule="auto"/>
              <w:rPr>
                <w:rFonts w:ascii="Times New Roman" w:hAnsi="Times New Roman"/>
                <w:color w:val="000000"/>
                <w:sz w:val="20"/>
                <w:szCs w:val="20"/>
              </w:rPr>
            </w:pPr>
            <w:r w:rsidRPr="005D4DC1">
              <w:rPr>
                <w:rFonts w:ascii="Times New Roman" w:hAnsi="Times New Roman"/>
                <w:color w:val="000000"/>
                <w:sz w:val="20"/>
                <w:szCs w:val="20"/>
              </w:rPr>
              <w:t>Operatorzy systemów dystrybucyjnych elektro-</w:t>
            </w:r>
          </w:p>
          <w:p w14:paraId="643F4ADE" w14:textId="05600352" w:rsidR="001B5FE3" w:rsidRPr="005D4DC1" w:rsidRDefault="005D4DC1" w:rsidP="005D4DC1">
            <w:pPr>
              <w:spacing w:line="240" w:lineRule="auto"/>
              <w:rPr>
                <w:rFonts w:ascii="Times New Roman" w:hAnsi="Times New Roman"/>
                <w:color w:val="000000"/>
                <w:sz w:val="20"/>
                <w:szCs w:val="20"/>
              </w:rPr>
            </w:pPr>
            <w:r w:rsidRPr="005D4DC1">
              <w:rPr>
                <w:rFonts w:ascii="Times New Roman" w:hAnsi="Times New Roman"/>
                <w:color w:val="000000"/>
                <w:sz w:val="20"/>
                <w:szCs w:val="20"/>
              </w:rPr>
              <w:t>energetycznych</w:t>
            </w:r>
          </w:p>
        </w:tc>
        <w:tc>
          <w:tcPr>
            <w:tcW w:w="2292" w:type="dxa"/>
            <w:gridSpan w:val="8"/>
            <w:shd w:val="clear" w:color="auto" w:fill="auto"/>
          </w:tcPr>
          <w:p w14:paraId="6B281ADC" w14:textId="3FD87EB0" w:rsidR="001B5FE3" w:rsidRPr="00FF3759" w:rsidRDefault="001B5FE3" w:rsidP="001B5FE3">
            <w:pPr>
              <w:spacing w:line="240" w:lineRule="auto"/>
              <w:rPr>
                <w:rFonts w:ascii="Times New Roman" w:eastAsia="Times New Roman" w:hAnsi="Times New Roman"/>
                <w:sz w:val="20"/>
                <w:szCs w:val="20"/>
                <w:lang w:eastAsia="pl-PL"/>
              </w:rPr>
            </w:pPr>
            <w:r w:rsidRPr="00FF3759">
              <w:rPr>
                <w:rFonts w:ascii="Times New Roman" w:eastAsia="Times New Roman" w:hAnsi="Times New Roman"/>
                <w:sz w:val="20"/>
                <w:szCs w:val="20"/>
                <w:lang w:eastAsia="pl-PL"/>
              </w:rPr>
              <w:t>ok. 180 podmiotów</w:t>
            </w:r>
          </w:p>
        </w:tc>
        <w:tc>
          <w:tcPr>
            <w:tcW w:w="2300" w:type="dxa"/>
            <w:gridSpan w:val="10"/>
            <w:shd w:val="clear" w:color="auto" w:fill="auto"/>
          </w:tcPr>
          <w:p w14:paraId="62E293C5" w14:textId="77777777" w:rsidR="001B5FE3" w:rsidRPr="008B2187" w:rsidRDefault="0042778E" w:rsidP="001B5FE3">
            <w:pPr>
              <w:spacing w:line="240" w:lineRule="auto"/>
              <w:rPr>
                <w:rFonts w:ascii="Times New Roman" w:hAnsi="Times New Roman"/>
                <w:color w:val="000000"/>
                <w:spacing w:val="-2"/>
                <w:sz w:val="20"/>
                <w:szCs w:val="20"/>
              </w:rPr>
            </w:pPr>
            <w:hyperlink r:id="rId19" w:history="1">
              <w:r w:rsidR="001B5FE3" w:rsidRPr="00D12317">
                <w:rPr>
                  <w:rStyle w:val="Hipercze"/>
                  <w:rFonts w:ascii="Times New Roman" w:hAnsi="Times New Roman"/>
                  <w:spacing w:val="-2"/>
                  <w:sz w:val="20"/>
                  <w:szCs w:val="20"/>
                </w:rPr>
                <w:t>https://bip.ure.gov.pl</w:t>
              </w:r>
            </w:hyperlink>
          </w:p>
          <w:p w14:paraId="7C9B5F8E" w14:textId="77777777" w:rsidR="001B5FE3" w:rsidRPr="00FF3759"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80FD772" w14:textId="77777777" w:rsidR="001B5FE3" w:rsidRPr="00FB4E07" w:rsidRDefault="001B5FE3" w:rsidP="001B5FE3">
            <w:pPr>
              <w:spacing w:line="240" w:lineRule="auto"/>
              <w:rPr>
                <w:rFonts w:ascii="Times New Roman" w:hAnsi="Times New Roman"/>
                <w:color w:val="000000"/>
                <w:spacing w:val="-2"/>
                <w:sz w:val="20"/>
                <w:szCs w:val="20"/>
              </w:rPr>
            </w:pPr>
            <w:r w:rsidRPr="00343DD3">
              <w:rPr>
                <w:rFonts w:ascii="Times New Roman" w:hAnsi="Times New Roman"/>
                <w:color w:val="000000"/>
                <w:spacing w:val="-2"/>
                <w:sz w:val="20"/>
                <w:szCs w:val="20"/>
              </w:rPr>
              <w:t>Dostosowanie profilu działalności do wymogów w zakresie relacji z członkami klastra energii.</w:t>
            </w:r>
          </w:p>
          <w:p w14:paraId="6FADD1AE" w14:textId="2A41A6ED" w:rsidR="008B2187" w:rsidRPr="008B2187" w:rsidRDefault="008B2187" w:rsidP="001B5FE3">
            <w:pPr>
              <w:spacing w:line="240" w:lineRule="auto"/>
              <w:rPr>
                <w:rFonts w:ascii="Times New Roman" w:hAnsi="Times New Roman"/>
                <w:color w:val="000000"/>
                <w:spacing w:val="-2"/>
                <w:sz w:val="20"/>
                <w:szCs w:val="20"/>
              </w:rPr>
            </w:pPr>
            <w:r w:rsidRPr="00D12317">
              <w:rPr>
                <w:rFonts w:ascii="Times New Roman" w:hAnsi="Times New Roman"/>
                <w:sz w:val="20"/>
                <w:szCs w:val="20"/>
              </w:rPr>
              <w:t>Obowiązek określenia potencjału systemów ciepłowniczych pod względem zapewnienia usługi bilansującej i innych usług systemowych.</w:t>
            </w:r>
          </w:p>
        </w:tc>
      </w:tr>
      <w:tr w:rsidR="001B5FE3" w:rsidRPr="00687093" w14:paraId="2AFBA425" w14:textId="77777777" w:rsidTr="003D57D7">
        <w:trPr>
          <w:gridAfter w:val="1"/>
          <w:wAfter w:w="10" w:type="dxa"/>
          <w:trHeight w:val="142"/>
        </w:trPr>
        <w:tc>
          <w:tcPr>
            <w:tcW w:w="2667" w:type="dxa"/>
            <w:gridSpan w:val="3"/>
            <w:shd w:val="clear" w:color="auto" w:fill="auto"/>
          </w:tcPr>
          <w:p w14:paraId="4301C7D4" w14:textId="17017684" w:rsidR="001B5FE3" w:rsidRPr="00687093" w:rsidRDefault="001B5FE3" w:rsidP="001B5FE3">
            <w:pPr>
              <w:spacing w:line="240" w:lineRule="auto"/>
              <w:rPr>
                <w:rFonts w:ascii="Times New Roman" w:hAnsi="Times New Roman"/>
                <w:color w:val="000000"/>
                <w:sz w:val="20"/>
                <w:szCs w:val="20"/>
              </w:rPr>
            </w:pPr>
            <w:r w:rsidRPr="00687093">
              <w:rPr>
                <w:rFonts w:ascii="Times New Roman" w:hAnsi="Times New Roman"/>
                <w:color w:val="000000"/>
                <w:sz w:val="20"/>
                <w:szCs w:val="20"/>
              </w:rPr>
              <w:t xml:space="preserve">Spółki obrotu energią elektryczną </w:t>
            </w:r>
          </w:p>
        </w:tc>
        <w:tc>
          <w:tcPr>
            <w:tcW w:w="2292" w:type="dxa"/>
            <w:gridSpan w:val="8"/>
            <w:shd w:val="clear" w:color="auto" w:fill="auto"/>
          </w:tcPr>
          <w:p w14:paraId="365BE98E" w14:textId="4FDB95FD" w:rsidR="001B5FE3" w:rsidRPr="00687093" w:rsidRDefault="001B5FE3" w:rsidP="001B5FE3">
            <w:pPr>
              <w:spacing w:line="240" w:lineRule="auto"/>
              <w:rPr>
                <w:rFonts w:ascii="Times New Roman" w:eastAsia="Times New Roman" w:hAnsi="Times New Roman"/>
                <w:sz w:val="20"/>
                <w:szCs w:val="20"/>
                <w:lang w:eastAsia="pl-PL"/>
              </w:rPr>
            </w:pPr>
            <w:r w:rsidRPr="00687093">
              <w:rPr>
                <w:rFonts w:ascii="Times New Roman" w:eastAsia="Times New Roman" w:hAnsi="Times New Roman"/>
                <w:sz w:val="20"/>
                <w:szCs w:val="20"/>
                <w:lang w:eastAsia="pl-PL"/>
              </w:rPr>
              <w:t>ok. 140 podmiotów</w:t>
            </w:r>
          </w:p>
        </w:tc>
        <w:tc>
          <w:tcPr>
            <w:tcW w:w="2300" w:type="dxa"/>
            <w:gridSpan w:val="10"/>
            <w:shd w:val="clear" w:color="auto" w:fill="auto"/>
          </w:tcPr>
          <w:p w14:paraId="496AF762" w14:textId="77777777" w:rsidR="001B5FE3" w:rsidRPr="00D34F3C" w:rsidRDefault="0042778E" w:rsidP="001B5FE3">
            <w:pPr>
              <w:spacing w:line="240" w:lineRule="auto"/>
              <w:rPr>
                <w:rFonts w:ascii="Times New Roman" w:hAnsi="Times New Roman"/>
                <w:color w:val="000000"/>
                <w:spacing w:val="-2"/>
                <w:sz w:val="20"/>
                <w:szCs w:val="20"/>
              </w:rPr>
            </w:pPr>
            <w:hyperlink r:id="rId20" w:history="1">
              <w:r w:rsidR="001B5FE3" w:rsidRPr="00D34F3C">
                <w:rPr>
                  <w:rStyle w:val="Hipercze"/>
                  <w:rFonts w:ascii="Times New Roman" w:hAnsi="Times New Roman"/>
                  <w:spacing w:val="-2"/>
                  <w:sz w:val="20"/>
                  <w:szCs w:val="20"/>
                </w:rPr>
                <w:t>https://bip.ure.gov.pl</w:t>
              </w:r>
            </w:hyperlink>
          </w:p>
          <w:p w14:paraId="7F1BC8BF" w14:textId="77777777" w:rsidR="001B5FE3" w:rsidRPr="00687093" w:rsidRDefault="001B5FE3" w:rsidP="001B5FE3">
            <w:pPr>
              <w:tabs>
                <w:tab w:val="left" w:pos="1756"/>
              </w:tabs>
              <w:spacing w:line="240" w:lineRule="auto"/>
              <w:rPr>
                <w:rFonts w:ascii="Times New Roman" w:hAnsi="Times New Roman"/>
                <w:color w:val="000000"/>
                <w:spacing w:val="-2"/>
                <w:sz w:val="20"/>
                <w:szCs w:val="20"/>
              </w:rPr>
            </w:pPr>
          </w:p>
        </w:tc>
        <w:tc>
          <w:tcPr>
            <w:tcW w:w="3678" w:type="dxa"/>
            <w:gridSpan w:val="8"/>
            <w:shd w:val="clear" w:color="auto" w:fill="auto"/>
          </w:tcPr>
          <w:p w14:paraId="732042AA" w14:textId="77777777" w:rsidR="001B5FE3" w:rsidRDefault="001B5FE3" w:rsidP="001B5FE3">
            <w:pPr>
              <w:spacing w:line="240" w:lineRule="auto"/>
              <w:rPr>
                <w:rFonts w:ascii="Times New Roman" w:hAnsi="Times New Roman"/>
                <w:color w:val="000000"/>
                <w:spacing w:val="-2"/>
                <w:sz w:val="20"/>
                <w:szCs w:val="20"/>
              </w:rPr>
            </w:pPr>
            <w:r w:rsidRPr="00687093">
              <w:rPr>
                <w:rFonts w:ascii="Times New Roman" w:hAnsi="Times New Roman"/>
                <w:color w:val="000000"/>
                <w:spacing w:val="-2"/>
                <w:sz w:val="20"/>
                <w:szCs w:val="20"/>
              </w:rPr>
              <w:t>Możliwość świadczenia usług obrotu energią elektryczną dla klastrów energii zgodnie z regulacjami zawartymi w</w:t>
            </w:r>
            <w:r>
              <w:rPr>
                <w:rFonts w:ascii="Times New Roman" w:hAnsi="Times New Roman"/>
                <w:color w:val="000000"/>
                <w:spacing w:val="-2"/>
                <w:sz w:val="20"/>
                <w:szCs w:val="20"/>
              </w:rPr>
              <w:t> </w:t>
            </w:r>
            <w:r w:rsidRPr="00687093">
              <w:rPr>
                <w:rFonts w:ascii="Times New Roman" w:hAnsi="Times New Roman"/>
                <w:color w:val="000000"/>
                <w:spacing w:val="-2"/>
                <w:sz w:val="20"/>
                <w:szCs w:val="20"/>
              </w:rPr>
              <w:t>projekcie</w:t>
            </w:r>
          </w:p>
          <w:p w14:paraId="67F13142" w14:textId="62DD1DAA" w:rsidR="001B5FE3" w:rsidRPr="00687093" w:rsidRDefault="001B5FE3" w:rsidP="001B5FE3">
            <w:pPr>
              <w:spacing w:line="240" w:lineRule="auto"/>
              <w:rPr>
                <w:rFonts w:ascii="Times New Roman" w:hAnsi="Times New Roman"/>
                <w:color w:val="000000"/>
                <w:spacing w:val="-2"/>
                <w:sz w:val="20"/>
                <w:szCs w:val="20"/>
              </w:rPr>
            </w:pPr>
          </w:p>
        </w:tc>
      </w:tr>
      <w:tr w:rsidR="001B5FE3" w:rsidRPr="00687093" w14:paraId="45268B91" w14:textId="77777777" w:rsidTr="000D3F79">
        <w:trPr>
          <w:gridAfter w:val="1"/>
          <w:wAfter w:w="10" w:type="dxa"/>
          <w:trHeight w:val="700"/>
        </w:trPr>
        <w:tc>
          <w:tcPr>
            <w:tcW w:w="2667" w:type="dxa"/>
            <w:gridSpan w:val="3"/>
            <w:shd w:val="clear" w:color="auto" w:fill="auto"/>
          </w:tcPr>
          <w:p w14:paraId="6B66780E" w14:textId="477A256B"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 xml:space="preserve">Wytwórcy energii </w:t>
            </w:r>
            <w:r w:rsidRPr="000D3F79">
              <w:rPr>
                <w:rFonts w:ascii="Times New Roman" w:hAnsi="Times New Roman"/>
                <w:sz w:val="20"/>
                <w:szCs w:val="20"/>
              </w:rPr>
              <w:br/>
              <w:t xml:space="preserve">w </w:t>
            </w:r>
            <w:proofErr w:type="spellStart"/>
            <w:r w:rsidRPr="000D3F79">
              <w:rPr>
                <w:rFonts w:ascii="Times New Roman" w:hAnsi="Times New Roman"/>
                <w:sz w:val="20"/>
                <w:szCs w:val="20"/>
              </w:rPr>
              <w:t>mikroinstalacjach</w:t>
            </w:r>
            <w:proofErr w:type="spellEnd"/>
            <w:r w:rsidRPr="000D3F79">
              <w:rPr>
                <w:rFonts w:ascii="Times New Roman" w:hAnsi="Times New Roman"/>
                <w:sz w:val="20"/>
                <w:szCs w:val="20"/>
              </w:rPr>
              <w:t xml:space="preserve"> (prosumenci)</w:t>
            </w:r>
          </w:p>
          <w:p w14:paraId="6E399E78" w14:textId="77777777" w:rsidR="001B5FE3" w:rsidRPr="000D3F79" w:rsidRDefault="001B5FE3" w:rsidP="001B5FE3">
            <w:pPr>
              <w:spacing w:line="240" w:lineRule="auto"/>
              <w:rPr>
                <w:rFonts w:ascii="Times New Roman" w:hAnsi="Times New Roman"/>
                <w:sz w:val="20"/>
                <w:szCs w:val="20"/>
              </w:rPr>
            </w:pPr>
          </w:p>
        </w:tc>
        <w:tc>
          <w:tcPr>
            <w:tcW w:w="2292" w:type="dxa"/>
            <w:gridSpan w:val="8"/>
            <w:shd w:val="clear" w:color="auto" w:fill="auto"/>
          </w:tcPr>
          <w:p w14:paraId="33814912" w14:textId="3F367070"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300 0000 rocznie</w:t>
            </w:r>
          </w:p>
        </w:tc>
        <w:tc>
          <w:tcPr>
            <w:tcW w:w="2300" w:type="dxa"/>
            <w:gridSpan w:val="10"/>
            <w:shd w:val="clear" w:color="auto" w:fill="auto"/>
          </w:tcPr>
          <w:p w14:paraId="01DD0B8A" w14:textId="51ECF8B7"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32F561F6" w14:textId="38FA6C9B" w:rsidR="001B5FE3" w:rsidRDefault="001B5FE3" w:rsidP="001B5FE3">
            <w:pPr>
              <w:spacing w:line="240" w:lineRule="auto"/>
              <w:rPr>
                <w:rFonts w:ascii="Times New Roman" w:hAnsi="Times New Roman"/>
                <w:spacing w:val="-2"/>
                <w:sz w:val="20"/>
                <w:szCs w:val="20"/>
              </w:rPr>
            </w:pPr>
            <w:r w:rsidRPr="000D3F79">
              <w:rPr>
                <w:rFonts w:ascii="Times New Roman" w:hAnsi="Times New Roman"/>
                <w:spacing w:val="-2"/>
                <w:sz w:val="20"/>
                <w:szCs w:val="20"/>
              </w:rPr>
              <w:t>Łatwy dostęp do informacji co przekłada się na ułatwienie wszczęcia i prowadzenia postępowań</w:t>
            </w:r>
            <w:r w:rsidR="004414F8">
              <w:rPr>
                <w:rFonts w:ascii="Times New Roman" w:hAnsi="Times New Roman"/>
                <w:spacing w:val="-2"/>
                <w:sz w:val="20"/>
                <w:szCs w:val="20"/>
              </w:rPr>
              <w:t>.</w:t>
            </w:r>
          </w:p>
          <w:p w14:paraId="0ABBEAFE" w14:textId="77777777" w:rsidR="001B5FE3" w:rsidRDefault="001B5FE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 xml:space="preserve">Uproszczenie, skrócenie lub liberalizacja procedur administracyjnych w procesie inwestycyjnym w nowe moce OZE. </w:t>
            </w:r>
          </w:p>
          <w:p w14:paraId="18105200" w14:textId="6632D6D5" w:rsidR="001B5FE3" w:rsidRPr="000D3F79" w:rsidRDefault="001B5FE3" w:rsidP="001B5FE3">
            <w:pPr>
              <w:spacing w:line="240" w:lineRule="auto"/>
              <w:rPr>
                <w:rFonts w:ascii="Times New Roman" w:hAnsi="Times New Roman"/>
                <w:spacing w:val="-2"/>
                <w:sz w:val="20"/>
                <w:szCs w:val="20"/>
              </w:rPr>
            </w:pPr>
            <w:r>
              <w:rPr>
                <w:rFonts w:ascii="Times New Roman" w:hAnsi="Times New Roman"/>
                <w:color w:val="000000"/>
                <w:spacing w:val="-2"/>
                <w:sz w:val="20"/>
                <w:szCs w:val="20"/>
              </w:rPr>
              <w:t>Możliwość wymiany międzynarodowej gwarancji pochodzenia.</w:t>
            </w:r>
          </w:p>
        </w:tc>
      </w:tr>
      <w:tr w:rsidR="001B5FE3" w:rsidRPr="00687093" w14:paraId="02F9C690" w14:textId="77777777" w:rsidTr="003D57D7">
        <w:trPr>
          <w:gridAfter w:val="1"/>
          <w:wAfter w:w="10" w:type="dxa"/>
          <w:trHeight w:val="142"/>
        </w:trPr>
        <w:tc>
          <w:tcPr>
            <w:tcW w:w="2667" w:type="dxa"/>
            <w:gridSpan w:val="3"/>
            <w:shd w:val="clear" w:color="auto" w:fill="auto"/>
          </w:tcPr>
          <w:p w14:paraId="070B1FA5" w14:textId="168AFF85"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 xml:space="preserve">Wytwórcy energii w instalacjach OZE innych niż </w:t>
            </w:r>
            <w:proofErr w:type="spellStart"/>
            <w:r w:rsidRPr="000D3F79">
              <w:rPr>
                <w:rFonts w:ascii="Times New Roman" w:hAnsi="Times New Roman"/>
                <w:sz w:val="20"/>
                <w:szCs w:val="20"/>
              </w:rPr>
              <w:t>mikroinstalacje</w:t>
            </w:r>
            <w:proofErr w:type="spellEnd"/>
          </w:p>
        </w:tc>
        <w:tc>
          <w:tcPr>
            <w:tcW w:w="2292" w:type="dxa"/>
            <w:gridSpan w:val="8"/>
            <w:shd w:val="clear" w:color="auto" w:fill="auto"/>
          </w:tcPr>
          <w:p w14:paraId="50C9C279" w14:textId="748A3973"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250 rocznie</w:t>
            </w:r>
          </w:p>
        </w:tc>
        <w:tc>
          <w:tcPr>
            <w:tcW w:w="2300" w:type="dxa"/>
            <w:gridSpan w:val="10"/>
            <w:shd w:val="clear" w:color="auto" w:fill="auto"/>
          </w:tcPr>
          <w:p w14:paraId="67368B60" w14:textId="5FAE20B1"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4DE728C5" w14:textId="7A25491A" w:rsidR="001B5FE3" w:rsidRDefault="001B5FE3" w:rsidP="001B5FE3">
            <w:pPr>
              <w:spacing w:line="240" w:lineRule="auto"/>
              <w:rPr>
                <w:rFonts w:ascii="Times New Roman" w:hAnsi="Times New Roman"/>
                <w:spacing w:val="-2"/>
                <w:sz w:val="20"/>
                <w:szCs w:val="20"/>
              </w:rPr>
            </w:pPr>
            <w:r w:rsidRPr="000D3F79">
              <w:rPr>
                <w:rFonts w:ascii="Times New Roman" w:hAnsi="Times New Roman"/>
                <w:spacing w:val="-2"/>
                <w:sz w:val="20"/>
                <w:szCs w:val="20"/>
              </w:rPr>
              <w:t>Łatwy dostęp do informacji co przekłada się na ułatwienie wszczęcia i prowadzenia postępowań</w:t>
            </w:r>
            <w:r w:rsidR="004414F8">
              <w:rPr>
                <w:rFonts w:ascii="Times New Roman" w:hAnsi="Times New Roman"/>
                <w:spacing w:val="-2"/>
                <w:sz w:val="20"/>
                <w:szCs w:val="20"/>
              </w:rPr>
              <w:t>.</w:t>
            </w:r>
          </w:p>
          <w:p w14:paraId="3813F3B2" w14:textId="77777777" w:rsidR="001B5FE3" w:rsidRDefault="001B5FE3" w:rsidP="001B5FE3">
            <w:pPr>
              <w:spacing w:line="240" w:lineRule="auto"/>
              <w:rPr>
                <w:rFonts w:ascii="Times New Roman" w:hAnsi="Times New Roman"/>
                <w:color w:val="000000"/>
                <w:spacing w:val="-2"/>
                <w:sz w:val="20"/>
                <w:szCs w:val="20"/>
              </w:rPr>
            </w:pPr>
            <w:r>
              <w:rPr>
                <w:rFonts w:ascii="Times New Roman" w:hAnsi="Times New Roman"/>
                <w:color w:val="000000"/>
                <w:spacing w:val="-2"/>
                <w:sz w:val="20"/>
                <w:szCs w:val="20"/>
              </w:rPr>
              <w:t xml:space="preserve">Uproszczenie, skrócenie lub liberalizacja procedur administracyjnych w procesie inwestycyjnym w nowe moce OZE. </w:t>
            </w:r>
          </w:p>
          <w:p w14:paraId="328DBF89" w14:textId="7078BD3E" w:rsidR="001B5FE3" w:rsidRPr="000D3F79" w:rsidRDefault="001B5FE3" w:rsidP="001B5FE3">
            <w:pPr>
              <w:spacing w:line="240" w:lineRule="auto"/>
              <w:rPr>
                <w:rFonts w:ascii="Times New Roman" w:hAnsi="Times New Roman"/>
                <w:spacing w:val="-2"/>
                <w:sz w:val="20"/>
                <w:szCs w:val="20"/>
              </w:rPr>
            </w:pPr>
            <w:r>
              <w:rPr>
                <w:rFonts w:ascii="Times New Roman" w:hAnsi="Times New Roman"/>
                <w:color w:val="000000"/>
                <w:spacing w:val="-2"/>
                <w:sz w:val="20"/>
                <w:szCs w:val="20"/>
              </w:rPr>
              <w:t>Możliwość wymiany międzynarodowej gwarancji pochodzenia.</w:t>
            </w:r>
          </w:p>
        </w:tc>
      </w:tr>
      <w:tr w:rsidR="001B5FE3" w:rsidRPr="00687093" w14:paraId="46D9E028" w14:textId="77777777" w:rsidTr="003D57D7">
        <w:trPr>
          <w:gridAfter w:val="1"/>
          <w:wAfter w:w="10" w:type="dxa"/>
          <w:trHeight w:val="142"/>
        </w:trPr>
        <w:tc>
          <w:tcPr>
            <w:tcW w:w="2667" w:type="dxa"/>
            <w:gridSpan w:val="3"/>
            <w:shd w:val="clear" w:color="auto" w:fill="auto"/>
          </w:tcPr>
          <w:p w14:paraId="61D55CE4" w14:textId="182D3817" w:rsidR="001B5FE3" w:rsidRPr="000D3F79" w:rsidRDefault="001B5FE3" w:rsidP="001B5FE3">
            <w:pPr>
              <w:spacing w:line="240" w:lineRule="auto"/>
              <w:rPr>
                <w:rFonts w:ascii="Times New Roman" w:hAnsi="Times New Roman"/>
                <w:sz w:val="20"/>
                <w:szCs w:val="20"/>
              </w:rPr>
            </w:pPr>
            <w:r w:rsidRPr="000D3F79">
              <w:rPr>
                <w:rFonts w:ascii="Times New Roman" w:hAnsi="Times New Roman"/>
                <w:sz w:val="20"/>
                <w:szCs w:val="20"/>
              </w:rPr>
              <w:t>Minister Klimatu i Środowiska</w:t>
            </w:r>
          </w:p>
        </w:tc>
        <w:tc>
          <w:tcPr>
            <w:tcW w:w="2292" w:type="dxa"/>
            <w:gridSpan w:val="8"/>
            <w:shd w:val="clear" w:color="auto" w:fill="auto"/>
          </w:tcPr>
          <w:p w14:paraId="515979F5" w14:textId="5D5249AF"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w:t>
            </w:r>
          </w:p>
        </w:tc>
        <w:tc>
          <w:tcPr>
            <w:tcW w:w="2300" w:type="dxa"/>
            <w:gridSpan w:val="10"/>
            <w:shd w:val="clear" w:color="auto" w:fill="auto"/>
          </w:tcPr>
          <w:p w14:paraId="70A891C1" w14:textId="4DE60C4F"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39A6392F" w14:textId="77777777" w:rsidR="001B5FE3" w:rsidRDefault="002B21A9" w:rsidP="001B5FE3">
            <w:pPr>
              <w:spacing w:line="240" w:lineRule="auto"/>
              <w:rPr>
                <w:rFonts w:ascii="Times New Roman" w:hAnsi="Times New Roman"/>
                <w:spacing w:val="-2"/>
                <w:sz w:val="20"/>
                <w:szCs w:val="20"/>
              </w:rPr>
            </w:pPr>
            <w:r>
              <w:rPr>
                <w:rFonts w:ascii="Times New Roman" w:hAnsi="Times New Roman"/>
                <w:spacing w:val="-2"/>
                <w:sz w:val="20"/>
                <w:szCs w:val="20"/>
              </w:rPr>
              <w:t xml:space="preserve">Utworzenie i funkcjonowanie organizacja </w:t>
            </w:r>
            <w:r w:rsidR="001B5FE3" w:rsidRPr="000D3F79">
              <w:rPr>
                <w:rFonts w:ascii="Times New Roman" w:hAnsi="Times New Roman"/>
                <w:spacing w:val="-2"/>
                <w:sz w:val="20"/>
                <w:szCs w:val="20"/>
              </w:rPr>
              <w:t>KP</w:t>
            </w:r>
            <w:r w:rsidR="001B5FE3">
              <w:rPr>
                <w:rFonts w:ascii="Times New Roman" w:hAnsi="Times New Roman"/>
                <w:spacing w:val="-2"/>
                <w:sz w:val="20"/>
                <w:szCs w:val="20"/>
              </w:rPr>
              <w:t>K</w:t>
            </w:r>
            <w:r w:rsidR="00655047">
              <w:rPr>
                <w:rFonts w:ascii="Times New Roman" w:hAnsi="Times New Roman"/>
                <w:spacing w:val="-2"/>
                <w:sz w:val="20"/>
                <w:szCs w:val="20"/>
              </w:rPr>
              <w:t xml:space="preserve"> OZE</w:t>
            </w:r>
            <w:r w:rsidR="00F26A65">
              <w:rPr>
                <w:rFonts w:ascii="Times New Roman" w:hAnsi="Times New Roman"/>
                <w:spacing w:val="-2"/>
                <w:sz w:val="20"/>
                <w:szCs w:val="20"/>
              </w:rPr>
              <w:t>.</w:t>
            </w:r>
          </w:p>
          <w:p w14:paraId="0DEC8C95" w14:textId="38EC86BB" w:rsidR="00F26A65" w:rsidRPr="000D3F79" w:rsidRDefault="00F26A65" w:rsidP="001B5FE3">
            <w:pPr>
              <w:spacing w:line="240" w:lineRule="auto"/>
              <w:rPr>
                <w:rFonts w:ascii="Times New Roman" w:hAnsi="Times New Roman"/>
                <w:spacing w:val="-2"/>
                <w:sz w:val="20"/>
                <w:szCs w:val="20"/>
              </w:rPr>
            </w:pPr>
            <w:r>
              <w:rPr>
                <w:rFonts w:ascii="Times New Roman" w:hAnsi="Times New Roman"/>
                <w:spacing w:val="-2"/>
                <w:sz w:val="20"/>
                <w:szCs w:val="20"/>
              </w:rPr>
              <w:t>Opracowanie zintegrowanych planów na rzecz energii i klimatu, ich aktualizacji i sprawozdań.</w:t>
            </w:r>
          </w:p>
        </w:tc>
      </w:tr>
      <w:tr w:rsidR="001B5FE3" w:rsidRPr="00687093" w14:paraId="3310C17E" w14:textId="77777777" w:rsidTr="003D57D7">
        <w:trPr>
          <w:gridAfter w:val="1"/>
          <w:wAfter w:w="10" w:type="dxa"/>
          <w:trHeight w:val="142"/>
        </w:trPr>
        <w:tc>
          <w:tcPr>
            <w:tcW w:w="2667" w:type="dxa"/>
            <w:gridSpan w:val="3"/>
            <w:shd w:val="clear" w:color="auto" w:fill="auto"/>
          </w:tcPr>
          <w:p w14:paraId="65D4BB2E" w14:textId="77777777" w:rsidR="001B5FE3" w:rsidRDefault="001B5FE3" w:rsidP="001B5FE3">
            <w:pPr>
              <w:spacing w:line="240" w:lineRule="auto"/>
              <w:rPr>
                <w:rFonts w:ascii="Times New Roman" w:hAnsi="Times New Roman"/>
                <w:sz w:val="20"/>
                <w:szCs w:val="20"/>
              </w:rPr>
            </w:pPr>
            <w:r w:rsidRPr="00D12317">
              <w:rPr>
                <w:rFonts w:ascii="Times New Roman" w:hAnsi="Times New Roman"/>
                <w:sz w:val="20"/>
                <w:szCs w:val="20"/>
              </w:rPr>
              <w:t>Urząd Regulacji Energetyki</w:t>
            </w:r>
          </w:p>
          <w:p w14:paraId="043379CF" w14:textId="1A9E6A02" w:rsidR="001B5FE3" w:rsidRPr="000D3F79" w:rsidRDefault="001B5FE3" w:rsidP="001B5FE3">
            <w:pPr>
              <w:spacing w:line="240" w:lineRule="auto"/>
              <w:rPr>
                <w:rFonts w:ascii="Times New Roman" w:hAnsi="Times New Roman"/>
                <w:sz w:val="20"/>
                <w:szCs w:val="20"/>
              </w:rPr>
            </w:pPr>
          </w:p>
        </w:tc>
        <w:tc>
          <w:tcPr>
            <w:tcW w:w="2292" w:type="dxa"/>
            <w:gridSpan w:val="8"/>
            <w:shd w:val="clear" w:color="auto" w:fill="auto"/>
          </w:tcPr>
          <w:p w14:paraId="45D4AB47" w14:textId="38F67486" w:rsidR="001B5FE3" w:rsidRPr="00F422B0" w:rsidRDefault="001B5FE3" w:rsidP="001B5FE3">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w:t>
            </w:r>
          </w:p>
        </w:tc>
        <w:tc>
          <w:tcPr>
            <w:tcW w:w="2300" w:type="dxa"/>
            <w:gridSpan w:val="10"/>
            <w:shd w:val="clear" w:color="auto" w:fill="auto"/>
          </w:tcPr>
          <w:p w14:paraId="0ABB9BA9" w14:textId="0D7307F9" w:rsidR="001B5FE3" w:rsidRPr="000D3F79" w:rsidRDefault="001B5FE3" w:rsidP="001B5FE3">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Szacunki własne</w:t>
            </w:r>
          </w:p>
        </w:tc>
        <w:tc>
          <w:tcPr>
            <w:tcW w:w="3678" w:type="dxa"/>
            <w:gridSpan w:val="8"/>
            <w:shd w:val="clear" w:color="auto" w:fill="auto"/>
          </w:tcPr>
          <w:p w14:paraId="55CBA6FD" w14:textId="2BF8360E" w:rsidR="001B5FE3" w:rsidRDefault="00647181" w:rsidP="001B5FE3">
            <w:pPr>
              <w:spacing w:line="240" w:lineRule="auto"/>
              <w:rPr>
                <w:rFonts w:ascii="Times New Roman" w:hAnsi="Times New Roman"/>
                <w:spacing w:val="-2"/>
                <w:sz w:val="20"/>
                <w:szCs w:val="20"/>
              </w:rPr>
            </w:pPr>
            <w:r>
              <w:rPr>
                <w:rFonts w:ascii="Times New Roman" w:hAnsi="Times New Roman"/>
                <w:spacing w:val="-2"/>
                <w:sz w:val="20"/>
                <w:szCs w:val="20"/>
              </w:rPr>
              <w:t>Współpraca z KPK OZE</w:t>
            </w:r>
            <w:r w:rsidR="001B5FE3" w:rsidRPr="00B96346">
              <w:rPr>
                <w:rFonts w:ascii="Times New Roman" w:hAnsi="Times New Roman"/>
                <w:spacing w:val="-2"/>
                <w:sz w:val="20"/>
                <w:szCs w:val="20"/>
              </w:rPr>
              <w:t xml:space="preserve"> w związku z udzielaniem informacji o postępowaniach dot. udzielenia promesy / koncesji na wytwarzanie energii elektrycznej</w:t>
            </w:r>
            <w:r>
              <w:rPr>
                <w:rFonts w:ascii="Times New Roman" w:hAnsi="Times New Roman"/>
                <w:spacing w:val="-2"/>
                <w:sz w:val="20"/>
                <w:szCs w:val="20"/>
              </w:rPr>
              <w:t xml:space="preserve">. Docelowe zmniejszenie obciążenia w związku z przejęciem przez KPK OZE właściwych zapytań obywateli o charakterze ogólnym. </w:t>
            </w:r>
          </w:p>
          <w:p w14:paraId="14BAF30A" w14:textId="77777777" w:rsidR="004414F8" w:rsidRDefault="004414F8" w:rsidP="001B5FE3">
            <w:pPr>
              <w:spacing w:line="240" w:lineRule="auto"/>
              <w:rPr>
                <w:rFonts w:ascii="Times New Roman" w:hAnsi="Times New Roman"/>
                <w:spacing w:val="-2"/>
                <w:sz w:val="20"/>
                <w:szCs w:val="20"/>
              </w:rPr>
            </w:pPr>
          </w:p>
          <w:p w14:paraId="5A4F6634" w14:textId="3607F845" w:rsidR="004414F8" w:rsidRPr="000D3F79" w:rsidRDefault="004414F8" w:rsidP="001B5FE3">
            <w:pPr>
              <w:spacing w:line="240" w:lineRule="auto"/>
              <w:rPr>
                <w:rFonts w:ascii="Times New Roman" w:hAnsi="Times New Roman"/>
                <w:spacing w:val="-2"/>
                <w:sz w:val="20"/>
                <w:szCs w:val="20"/>
              </w:rPr>
            </w:pPr>
            <w:r>
              <w:rPr>
                <w:rFonts w:ascii="Times New Roman" w:hAnsi="Times New Roman"/>
                <w:spacing w:val="-2"/>
                <w:sz w:val="20"/>
                <w:szCs w:val="20"/>
              </w:rPr>
              <w:t xml:space="preserve">Zwiększenie zadań w zakresie prowadzenie rejestrów dotyczących klastrów energii i </w:t>
            </w:r>
            <w:proofErr w:type="spellStart"/>
            <w:r>
              <w:rPr>
                <w:rFonts w:ascii="Times New Roman" w:hAnsi="Times New Roman"/>
                <w:spacing w:val="-2"/>
                <w:sz w:val="20"/>
                <w:szCs w:val="20"/>
              </w:rPr>
              <w:t>biometanu</w:t>
            </w:r>
            <w:proofErr w:type="spellEnd"/>
            <w:r>
              <w:rPr>
                <w:rFonts w:ascii="Times New Roman" w:hAnsi="Times New Roman"/>
                <w:spacing w:val="-2"/>
                <w:sz w:val="20"/>
                <w:szCs w:val="20"/>
              </w:rPr>
              <w:t>.</w:t>
            </w:r>
          </w:p>
        </w:tc>
      </w:tr>
      <w:tr w:rsidR="008B2187" w:rsidRPr="00687093" w14:paraId="04D8C05C" w14:textId="77777777" w:rsidTr="003D57D7">
        <w:trPr>
          <w:gridAfter w:val="1"/>
          <w:wAfter w:w="10" w:type="dxa"/>
          <w:trHeight w:val="142"/>
        </w:trPr>
        <w:tc>
          <w:tcPr>
            <w:tcW w:w="2667" w:type="dxa"/>
            <w:gridSpan w:val="3"/>
            <w:shd w:val="clear" w:color="auto" w:fill="auto"/>
          </w:tcPr>
          <w:p w14:paraId="54CB9862" w14:textId="667931DD"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Regionalni Dyrektorzy Ochrony Środowiska</w:t>
            </w:r>
          </w:p>
        </w:tc>
        <w:tc>
          <w:tcPr>
            <w:tcW w:w="2292" w:type="dxa"/>
            <w:gridSpan w:val="8"/>
            <w:shd w:val="clear" w:color="auto" w:fill="auto"/>
          </w:tcPr>
          <w:p w14:paraId="21A1DB25" w14:textId="702C8625"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16</w:t>
            </w:r>
          </w:p>
        </w:tc>
        <w:tc>
          <w:tcPr>
            <w:tcW w:w="2300" w:type="dxa"/>
            <w:gridSpan w:val="10"/>
            <w:shd w:val="clear" w:color="auto" w:fill="auto"/>
          </w:tcPr>
          <w:p w14:paraId="5960D15D" w14:textId="26C4FED3"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Style w:val="Hipercze"/>
                <w:rFonts w:ascii="Times New Roman" w:hAnsi="Times New Roman"/>
                <w:color w:val="auto"/>
                <w:spacing w:val="-2"/>
                <w:sz w:val="20"/>
                <w:szCs w:val="20"/>
                <w:u w:val="none"/>
              </w:rPr>
              <w:t>https://www.gdos.gov.pl/regionalni-dyrektorzy-ochrony-srodowiska</w:t>
            </w:r>
          </w:p>
        </w:tc>
        <w:tc>
          <w:tcPr>
            <w:tcW w:w="3678" w:type="dxa"/>
            <w:gridSpan w:val="8"/>
            <w:shd w:val="clear" w:color="auto" w:fill="auto"/>
          </w:tcPr>
          <w:p w14:paraId="724CBC17" w14:textId="34EC210F" w:rsidR="00647181" w:rsidRPr="000D3F79" w:rsidRDefault="00647181" w:rsidP="00647181">
            <w:pPr>
              <w:spacing w:line="240" w:lineRule="auto"/>
              <w:rPr>
                <w:rFonts w:ascii="Times New Roman" w:hAnsi="Times New Roman"/>
                <w:spacing w:val="-2"/>
                <w:sz w:val="20"/>
                <w:szCs w:val="20"/>
              </w:rPr>
            </w:pPr>
            <w:r>
              <w:rPr>
                <w:rFonts w:ascii="Times New Roman" w:hAnsi="Times New Roman"/>
                <w:spacing w:val="-2"/>
                <w:sz w:val="20"/>
                <w:szCs w:val="20"/>
              </w:rPr>
              <w:t>Współpraca z KPK OZE</w:t>
            </w:r>
            <w:r w:rsidRPr="00B96346">
              <w:rPr>
                <w:rFonts w:ascii="Times New Roman" w:hAnsi="Times New Roman"/>
                <w:spacing w:val="-2"/>
                <w:sz w:val="20"/>
                <w:szCs w:val="20"/>
              </w:rPr>
              <w:t xml:space="preserve"> w związku </w:t>
            </w:r>
            <w:r w:rsidR="008B2187" w:rsidRPr="00B96346">
              <w:rPr>
                <w:rFonts w:ascii="Times New Roman" w:hAnsi="Times New Roman"/>
                <w:spacing w:val="-2"/>
                <w:sz w:val="20"/>
                <w:szCs w:val="20"/>
              </w:rPr>
              <w:t xml:space="preserve">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decyzji o środowiskowych uwarunkowaniach</w:t>
            </w:r>
            <w:r>
              <w:rPr>
                <w:rFonts w:ascii="Times New Roman" w:hAnsi="Times New Roman"/>
                <w:spacing w:val="-2"/>
                <w:sz w:val="20"/>
                <w:szCs w:val="20"/>
              </w:rPr>
              <w:t xml:space="preserve">. </w:t>
            </w:r>
            <w:r w:rsidRPr="00647181">
              <w:rPr>
                <w:rFonts w:ascii="Times New Roman" w:hAnsi="Times New Roman"/>
                <w:spacing w:val="-2"/>
                <w:sz w:val="20"/>
                <w:szCs w:val="20"/>
              </w:rPr>
              <w:lastRenderedPageBreak/>
              <w:t xml:space="preserve">Docelowe zmniejszenie obciążenia w związku z przejęciem przez KPK OZE właściwych zapytań obywateli o charakterze ogólnym. </w:t>
            </w:r>
          </w:p>
        </w:tc>
      </w:tr>
      <w:tr w:rsidR="008B2187" w:rsidRPr="00687093" w14:paraId="6CE15C5A" w14:textId="77777777" w:rsidTr="003D57D7">
        <w:trPr>
          <w:gridAfter w:val="1"/>
          <w:wAfter w:w="10" w:type="dxa"/>
          <w:trHeight w:val="142"/>
        </w:trPr>
        <w:tc>
          <w:tcPr>
            <w:tcW w:w="2667" w:type="dxa"/>
            <w:gridSpan w:val="3"/>
            <w:shd w:val="clear" w:color="auto" w:fill="auto"/>
          </w:tcPr>
          <w:p w14:paraId="48D0857D" w14:textId="77777777" w:rsidR="008B2187" w:rsidRDefault="008B2187" w:rsidP="008B2187">
            <w:pPr>
              <w:spacing w:line="240" w:lineRule="auto"/>
              <w:rPr>
                <w:rFonts w:ascii="Times New Roman" w:hAnsi="Times New Roman"/>
                <w:sz w:val="20"/>
                <w:szCs w:val="20"/>
              </w:rPr>
            </w:pPr>
            <w:r w:rsidRPr="000D3F79">
              <w:rPr>
                <w:rFonts w:ascii="Times New Roman" w:hAnsi="Times New Roman"/>
                <w:sz w:val="20"/>
                <w:szCs w:val="20"/>
              </w:rPr>
              <w:lastRenderedPageBreak/>
              <w:t>Wójtowie, Burmistrzowie, Prezydenci miast</w:t>
            </w:r>
          </w:p>
          <w:p w14:paraId="2A616063" w14:textId="0A5931CE" w:rsidR="008B2187" w:rsidRPr="000D3F79" w:rsidRDefault="008B2187" w:rsidP="008B2187">
            <w:pPr>
              <w:spacing w:line="240" w:lineRule="auto"/>
              <w:rPr>
                <w:rFonts w:ascii="Times New Roman" w:hAnsi="Times New Roman"/>
                <w:sz w:val="20"/>
                <w:szCs w:val="20"/>
              </w:rPr>
            </w:pPr>
          </w:p>
        </w:tc>
        <w:tc>
          <w:tcPr>
            <w:tcW w:w="2292" w:type="dxa"/>
            <w:gridSpan w:val="8"/>
            <w:shd w:val="clear" w:color="auto" w:fill="auto"/>
          </w:tcPr>
          <w:p w14:paraId="74BB84B6" w14:textId="6DE7A1B6"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2479</w:t>
            </w:r>
          </w:p>
        </w:tc>
        <w:tc>
          <w:tcPr>
            <w:tcW w:w="2300" w:type="dxa"/>
            <w:gridSpan w:val="10"/>
            <w:shd w:val="clear" w:color="auto" w:fill="auto"/>
          </w:tcPr>
          <w:p w14:paraId="58DF36A6" w14:textId="07D3F821"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Style w:val="Hipercze"/>
                <w:rFonts w:ascii="Times New Roman" w:hAnsi="Times New Roman"/>
                <w:color w:val="auto"/>
                <w:spacing w:val="-2"/>
                <w:sz w:val="20"/>
                <w:szCs w:val="20"/>
                <w:u w:val="none"/>
              </w:rPr>
              <w:t>Dane GUS</w:t>
            </w:r>
          </w:p>
        </w:tc>
        <w:tc>
          <w:tcPr>
            <w:tcW w:w="3678" w:type="dxa"/>
            <w:gridSpan w:val="8"/>
            <w:shd w:val="clear" w:color="auto" w:fill="auto"/>
          </w:tcPr>
          <w:p w14:paraId="064053F4" w14:textId="61BD0919" w:rsidR="008B2187" w:rsidRPr="000D3F79" w:rsidRDefault="008B0A70" w:rsidP="008B0A70">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decyzji o środowiskowych uwarunkowaniach oraz decyzji o warunkach zabudowy</w:t>
            </w:r>
            <w:r>
              <w:rPr>
                <w:rFonts w:ascii="Times New Roman" w:hAnsi="Times New Roman"/>
                <w:spacing w:val="-2"/>
                <w:sz w:val="20"/>
                <w:szCs w:val="20"/>
              </w:rPr>
              <w:t>.</w:t>
            </w:r>
            <w:r w:rsidR="008B2187" w:rsidRPr="00B96346" w:rsidDel="00EA304E">
              <w:rPr>
                <w:rFonts w:ascii="Times New Roman" w:hAnsi="Times New Roman"/>
                <w:spacing w:val="-2"/>
                <w:sz w:val="20"/>
                <w:szCs w:val="20"/>
              </w:rPr>
              <w:t xml:space="preserve"> </w:t>
            </w:r>
            <w:r w:rsidRPr="008B0A70">
              <w:rPr>
                <w:rFonts w:ascii="Times New Roman" w:hAnsi="Times New Roman"/>
                <w:spacing w:val="-2"/>
                <w:sz w:val="20"/>
                <w:szCs w:val="20"/>
              </w:rPr>
              <w:t xml:space="preserve">Docelowe zmniejszenie obciążenia w związku z przejęciem przez KPK OZE właściwych zapytań obywateli o charakterze ogólnym. </w:t>
            </w:r>
          </w:p>
        </w:tc>
      </w:tr>
      <w:tr w:rsidR="008B2187" w:rsidRPr="00687093" w14:paraId="6FC52F7B" w14:textId="77777777" w:rsidTr="003D57D7">
        <w:trPr>
          <w:gridAfter w:val="1"/>
          <w:wAfter w:w="10" w:type="dxa"/>
          <w:trHeight w:val="142"/>
        </w:trPr>
        <w:tc>
          <w:tcPr>
            <w:tcW w:w="2667" w:type="dxa"/>
            <w:gridSpan w:val="3"/>
            <w:shd w:val="clear" w:color="auto" w:fill="auto"/>
          </w:tcPr>
          <w:p w14:paraId="6DB4FB69" w14:textId="6B91FCC6"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Starostowie</w:t>
            </w:r>
          </w:p>
        </w:tc>
        <w:tc>
          <w:tcPr>
            <w:tcW w:w="2292" w:type="dxa"/>
            <w:gridSpan w:val="8"/>
            <w:shd w:val="clear" w:color="auto" w:fill="auto"/>
          </w:tcPr>
          <w:p w14:paraId="531DD71E" w14:textId="62E00FB3"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314</w:t>
            </w:r>
          </w:p>
        </w:tc>
        <w:tc>
          <w:tcPr>
            <w:tcW w:w="2300" w:type="dxa"/>
            <w:gridSpan w:val="10"/>
            <w:shd w:val="clear" w:color="auto" w:fill="auto"/>
          </w:tcPr>
          <w:p w14:paraId="28DD1D89"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http://administracja.mswia.gov.</w:t>
            </w:r>
          </w:p>
          <w:p w14:paraId="45C2E091" w14:textId="77777777" w:rsidR="008B2187" w:rsidRPr="000D3F79" w:rsidRDefault="008B2187" w:rsidP="008B2187">
            <w:pPr>
              <w:spacing w:line="240" w:lineRule="auto"/>
              <w:rPr>
                <w:rFonts w:ascii="Times New Roman" w:hAnsi="Times New Roman"/>
                <w:spacing w:val="-2"/>
                <w:sz w:val="20"/>
                <w:szCs w:val="20"/>
              </w:rPr>
            </w:pPr>
            <w:proofErr w:type="spellStart"/>
            <w:r w:rsidRPr="000D3F79">
              <w:rPr>
                <w:rFonts w:ascii="Times New Roman" w:hAnsi="Times New Roman"/>
                <w:spacing w:val="-2"/>
                <w:sz w:val="20"/>
                <w:szCs w:val="20"/>
              </w:rPr>
              <w:t>pl</w:t>
            </w:r>
            <w:proofErr w:type="spellEnd"/>
            <w:r w:rsidRPr="000D3F79">
              <w:rPr>
                <w:rFonts w:ascii="Times New Roman" w:hAnsi="Times New Roman"/>
                <w:spacing w:val="-2"/>
                <w:sz w:val="20"/>
                <w:szCs w:val="20"/>
              </w:rPr>
              <w:t>/</w:t>
            </w:r>
            <w:proofErr w:type="spellStart"/>
            <w:r w:rsidRPr="000D3F79">
              <w:rPr>
                <w:rFonts w:ascii="Times New Roman" w:hAnsi="Times New Roman"/>
                <w:spacing w:val="-2"/>
                <w:sz w:val="20"/>
                <w:szCs w:val="20"/>
              </w:rPr>
              <w:t>adm</w:t>
            </w:r>
            <w:proofErr w:type="spellEnd"/>
            <w:r w:rsidRPr="000D3F79">
              <w:rPr>
                <w:rFonts w:ascii="Times New Roman" w:hAnsi="Times New Roman"/>
                <w:spacing w:val="-2"/>
                <w:sz w:val="20"/>
                <w:szCs w:val="20"/>
              </w:rPr>
              <w:t>/baza-</w:t>
            </w:r>
            <w:proofErr w:type="spellStart"/>
            <w:r w:rsidRPr="000D3F79">
              <w:rPr>
                <w:rFonts w:ascii="Times New Roman" w:hAnsi="Times New Roman"/>
                <w:spacing w:val="-2"/>
                <w:sz w:val="20"/>
                <w:szCs w:val="20"/>
              </w:rPr>
              <w:t>jst</w:t>
            </w:r>
            <w:proofErr w:type="spellEnd"/>
            <w:r w:rsidRPr="000D3F79">
              <w:rPr>
                <w:rFonts w:ascii="Times New Roman" w:hAnsi="Times New Roman"/>
                <w:spacing w:val="-2"/>
                <w:sz w:val="20"/>
                <w:szCs w:val="20"/>
              </w:rPr>
              <w:t>/843,Samorzadterytorialny-</w:t>
            </w:r>
          </w:p>
          <w:p w14:paraId="3AD269FF" w14:textId="602E05AC"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w-Polsce.html</w:t>
            </w:r>
          </w:p>
        </w:tc>
        <w:tc>
          <w:tcPr>
            <w:tcW w:w="3678" w:type="dxa"/>
            <w:gridSpan w:val="8"/>
            <w:shd w:val="clear" w:color="auto" w:fill="auto"/>
          </w:tcPr>
          <w:p w14:paraId="35393C25" w14:textId="6F8CE237" w:rsidR="008B2187" w:rsidRPr="000D3F79" w:rsidRDefault="008B0A70" w:rsidP="008B0A70">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pozwolenia na budowę</w:t>
            </w:r>
            <w:r>
              <w:rPr>
                <w:rFonts w:ascii="Times New Roman" w:hAnsi="Times New Roman"/>
                <w:spacing w:val="-2"/>
                <w:sz w:val="20"/>
                <w:szCs w:val="20"/>
              </w:rPr>
              <w:t xml:space="preserve">. </w:t>
            </w:r>
            <w:r w:rsidRPr="008B0A70">
              <w:rPr>
                <w:rFonts w:ascii="Times New Roman" w:hAnsi="Times New Roman"/>
                <w:spacing w:val="-2"/>
                <w:sz w:val="20"/>
                <w:szCs w:val="20"/>
              </w:rPr>
              <w:t>Docelowe zmniejszenie obciążenia w związku z przejęciem przez KPK OZE właściwych zapytań obywateli o charakterze ogólnym.</w:t>
            </w:r>
          </w:p>
        </w:tc>
      </w:tr>
      <w:tr w:rsidR="008B2187" w:rsidRPr="00687093" w14:paraId="397467FD" w14:textId="77777777" w:rsidTr="003D57D7">
        <w:trPr>
          <w:gridAfter w:val="1"/>
          <w:wAfter w:w="10" w:type="dxa"/>
          <w:trHeight w:val="142"/>
        </w:trPr>
        <w:tc>
          <w:tcPr>
            <w:tcW w:w="2667" w:type="dxa"/>
            <w:gridSpan w:val="3"/>
            <w:shd w:val="clear" w:color="auto" w:fill="auto"/>
          </w:tcPr>
          <w:p w14:paraId="19545035" w14:textId="0690AD4C" w:rsidR="008B2187" w:rsidRPr="000D3F79" w:rsidRDefault="008B2187" w:rsidP="008B2187">
            <w:pPr>
              <w:spacing w:line="240" w:lineRule="auto"/>
              <w:rPr>
                <w:rFonts w:ascii="Times New Roman" w:hAnsi="Times New Roman"/>
                <w:sz w:val="20"/>
                <w:szCs w:val="20"/>
              </w:rPr>
            </w:pPr>
            <w:r w:rsidRPr="000D3F79">
              <w:rPr>
                <w:rFonts w:ascii="Times New Roman" w:hAnsi="Times New Roman"/>
                <w:sz w:val="20"/>
                <w:szCs w:val="20"/>
              </w:rPr>
              <w:t>Powiatowi Inspektorzy Nadzoru Budowlanego</w:t>
            </w:r>
          </w:p>
        </w:tc>
        <w:tc>
          <w:tcPr>
            <w:tcW w:w="2292" w:type="dxa"/>
            <w:gridSpan w:val="8"/>
            <w:shd w:val="clear" w:color="auto" w:fill="auto"/>
          </w:tcPr>
          <w:p w14:paraId="5295CBCF" w14:textId="76592BBB" w:rsidR="008B2187" w:rsidRPr="00F422B0" w:rsidRDefault="008B2187" w:rsidP="008B2187">
            <w:pPr>
              <w:spacing w:line="240" w:lineRule="auto"/>
              <w:rPr>
                <w:rFonts w:ascii="Times New Roman" w:eastAsia="Times New Roman" w:hAnsi="Times New Roman"/>
                <w:sz w:val="20"/>
                <w:szCs w:val="20"/>
                <w:lang w:eastAsia="pl-PL"/>
              </w:rPr>
            </w:pPr>
            <w:r w:rsidRPr="00F422B0">
              <w:rPr>
                <w:rFonts w:ascii="Times New Roman" w:eastAsia="Times New Roman" w:hAnsi="Times New Roman"/>
                <w:sz w:val="20"/>
                <w:szCs w:val="20"/>
                <w:lang w:eastAsia="pl-PL"/>
              </w:rPr>
              <w:t>314</w:t>
            </w:r>
          </w:p>
        </w:tc>
        <w:tc>
          <w:tcPr>
            <w:tcW w:w="2300" w:type="dxa"/>
            <w:gridSpan w:val="10"/>
            <w:shd w:val="clear" w:color="auto" w:fill="auto"/>
          </w:tcPr>
          <w:p w14:paraId="051F4EBB" w14:textId="77777777" w:rsidR="008B2187" w:rsidRPr="000D3F79" w:rsidRDefault="008B2187" w:rsidP="008B2187">
            <w:pPr>
              <w:spacing w:line="240" w:lineRule="auto"/>
              <w:rPr>
                <w:rFonts w:ascii="Times New Roman" w:hAnsi="Times New Roman"/>
                <w:spacing w:val="-2"/>
                <w:sz w:val="20"/>
                <w:szCs w:val="20"/>
              </w:rPr>
            </w:pPr>
            <w:r w:rsidRPr="000D3F79">
              <w:rPr>
                <w:rFonts w:ascii="Times New Roman" w:hAnsi="Times New Roman"/>
                <w:spacing w:val="-2"/>
                <w:sz w:val="20"/>
                <w:szCs w:val="20"/>
              </w:rPr>
              <w:t>http://administracja.mswia.gov.</w:t>
            </w:r>
          </w:p>
          <w:p w14:paraId="1D1C1E06" w14:textId="77777777" w:rsidR="008B2187" w:rsidRPr="000D3F79" w:rsidRDefault="008B2187" w:rsidP="008B2187">
            <w:pPr>
              <w:spacing w:line="240" w:lineRule="auto"/>
              <w:rPr>
                <w:rFonts w:ascii="Times New Roman" w:hAnsi="Times New Roman"/>
                <w:spacing w:val="-2"/>
                <w:sz w:val="20"/>
                <w:szCs w:val="20"/>
              </w:rPr>
            </w:pPr>
            <w:proofErr w:type="spellStart"/>
            <w:r w:rsidRPr="000D3F79">
              <w:rPr>
                <w:rFonts w:ascii="Times New Roman" w:hAnsi="Times New Roman"/>
                <w:spacing w:val="-2"/>
                <w:sz w:val="20"/>
                <w:szCs w:val="20"/>
              </w:rPr>
              <w:t>pl</w:t>
            </w:r>
            <w:proofErr w:type="spellEnd"/>
            <w:r w:rsidRPr="000D3F79">
              <w:rPr>
                <w:rFonts w:ascii="Times New Roman" w:hAnsi="Times New Roman"/>
                <w:spacing w:val="-2"/>
                <w:sz w:val="20"/>
                <w:szCs w:val="20"/>
              </w:rPr>
              <w:t>/</w:t>
            </w:r>
            <w:proofErr w:type="spellStart"/>
            <w:r w:rsidRPr="000D3F79">
              <w:rPr>
                <w:rFonts w:ascii="Times New Roman" w:hAnsi="Times New Roman"/>
                <w:spacing w:val="-2"/>
                <w:sz w:val="20"/>
                <w:szCs w:val="20"/>
              </w:rPr>
              <w:t>adm</w:t>
            </w:r>
            <w:proofErr w:type="spellEnd"/>
            <w:r w:rsidRPr="000D3F79">
              <w:rPr>
                <w:rFonts w:ascii="Times New Roman" w:hAnsi="Times New Roman"/>
                <w:spacing w:val="-2"/>
                <w:sz w:val="20"/>
                <w:szCs w:val="20"/>
              </w:rPr>
              <w:t>/baza-</w:t>
            </w:r>
            <w:proofErr w:type="spellStart"/>
            <w:r w:rsidRPr="000D3F79">
              <w:rPr>
                <w:rFonts w:ascii="Times New Roman" w:hAnsi="Times New Roman"/>
                <w:spacing w:val="-2"/>
                <w:sz w:val="20"/>
                <w:szCs w:val="20"/>
              </w:rPr>
              <w:t>jst</w:t>
            </w:r>
            <w:proofErr w:type="spellEnd"/>
            <w:r w:rsidRPr="000D3F79">
              <w:rPr>
                <w:rFonts w:ascii="Times New Roman" w:hAnsi="Times New Roman"/>
                <w:spacing w:val="-2"/>
                <w:sz w:val="20"/>
                <w:szCs w:val="20"/>
              </w:rPr>
              <w:t>/843,Samorzadterytorialny-</w:t>
            </w:r>
          </w:p>
          <w:p w14:paraId="57B89F46" w14:textId="5AB88799" w:rsidR="008B2187" w:rsidRPr="000D3F79" w:rsidRDefault="008B2187" w:rsidP="008B2187">
            <w:pPr>
              <w:spacing w:line="240" w:lineRule="auto"/>
              <w:rPr>
                <w:rStyle w:val="Hipercze"/>
                <w:rFonts w:ascii="Times New Roman" w:hAnsi="Times New Roman"/>
                <w:color w:val="auto"/>
                <w:spacing w:val="-2"/>
                <w:sz w:val="20"/>
                <w:szCs w:val="20"/>
                <w:u w:val="none"/>
              </w:rPr>
            </w:pPr>
            <w:r w:rsidRPr="000D3F79">
              <w:rPr>
                <w:rFonts w:ascii="Times New Roman" w:hAnsi="Times New Roman"/>
                <w:spacing w:val="-2"/>
                <w:sz w:val="20"/>
                <w:szCs w:val="20"/>
              </w:rPr>
              <w:t>w-Polsce.html</w:t>
            </w:r>
          </w:p>
        </w:tc>
        <w:tc>
          <w:tcPr>
            <w:tcW w:w="3678" w:type="dxa"/>
            <w:gridSpan w:val="8"/>
            <w:shd w:val="clear" w:color="auto" w:fill="auto"/>
          </w:tcPr>
          <w:p w14:paraId="60C32522" w14:textId="0ACF575D" w:rsidR="008B2187" w:rsidRPr="000D3F79" w:rsidRDefault="008B0A70" w:rsidP="008B2187">
            <w:pPr>
              <w:spacing w:line="240" w:lineRule="auto"/>
              <w:rPr>
                <w:rFonts w:ascii="Times New Roman" w:hAnsi="Times New Roman"/>
                <w:spacing w:val="-2"/>
                <w:sz w:val="20"/>
                <w:szCs w:val="20"/>
              </w:rPr>
            </w:pPr>
            <w:r w:rsidRPr="008B0A70">
              <w:rPr>
                <w:rFonts w:ascii="Times New Roman" w:hAnsi="Times New Roman"/>
                <w:spacing w:val="-2"/>
                <w:sz w:val="20"/>
                <w:szCs w:val="20"/>
              </w:rPr>
              <w:t xml:space="preserve">Współpraca z KPK OZE </w:t>
            </w:r>
            <w:r w:rsidR="008B2187" w:rsidRPr="00B96346">
              <w:rPr>
                <w:rFonts w:ascii="Times New Roman" w:hAnsi="Times New Roman"/>
                <w:spacing w:val="-2"/>
                <w:sz w:val="20"/>
                <w:szCs w:val="20"/>
              </w:rPr>
              <w:t xml:space="preserve">w związku z udzielaniem </w:t>
            </w:r>
            <w:r>
              <w:rPr>
                <w:rFonts w:ascii="Times New Roman" w:hAnsi="Times New Roman"/>
                <w:spacing w:val="-2"/>
                <w:sz w:val="20"/>
                <w:szCs w:val="20"/>
              </w:rPr>
              <w:t xml:space="preserve">ogólnych </w:t>
            </w:r>
            <w:r w:rsidR="008B2187" w:rsidRPr="00B96346">
              <w:rPr>
                <w:rFonts w:ascii="Times New Roman" w:hAnsi="Times New Roman"/>
                <w:spacing w:val="-2"/>
                <w:sz w:val="20"/>
                <w:szCs w:val="20"/>
              </w:rPr>
              <w:t>informacji o postępowaniach dot. pozwolenia na użytkowanie</w:t>
            </w:r>
            <w:r>
              <w:rPr>
                <w:rFonts w:ascii="Times New Roman" w:hAnsi="Times New Roman"/>
                <w:spacing w:val="-2"/>
                <w:sz w:val="20"/>
                <w:szCs w:val="20"/>
              </w:rPr>
              <w:t>.</w:t>
            </w:r>
            <w:r w:rsidR="008B2187" w:rsidRPr="00B96346" w:rsidDel="00B96346">
              <w:rPr>
                <w:rFonts w:ascii="Times New Roman" w:hAnsi="Times New Roman"/>
                <w:spacing w:val="-2"/>
                <w:sz w:val="20"/>
                <w:szCs w:val="20"/>
              </w:rPr>
              <w:t xml:space="preserve"> </w:t>
            </w:r>
            <w:r w:rsidRPr="008B0A70">
              <w:rPr>
                <w:rFonts w:ascii="Times New Roman" w:hAnsi="Times New Roman"/>
                <w:spacing w:val="-2"/>
                <w:sz w:val="20"/>
                <w:szCs w:val="20"/>
              </w:rPr>
              <w:t>Docelowe zmniejszenie obciążenia w związku z przejęciem przez KPK OZE właściwych zapytań obywateli o charakterze ogólnym.</w:t>
            </w:r>
          </w:p>
        </w:tc>
      </w:tr>
      <w:tr w:rsidR="00D71FB6" w:rsidRPr="00687093" w14:paraId="4A73E9CB" w14:textId="77777777" w:rsidTr="003D57D7">
        <w:trPr>
          <w:gridAfter w:val="1"/>
          <w:wAfter w:w="10" w:type="dxa"/>
          <w:trHeight w:val="142"/>
        </w:trPr>
        <w:tc>
          <w:tcPr>
            <w:tcW w:w="2667" w:type="dxa"/>
            <w:gridSpan w:val="3"/>
            <w:shd w:val="clear" w:color="auto" w:fill="auto"/>
          </w:tcPr>
          <w:p w14:paraId="502FD864" w14:textId="20334CC4" w:rsidR="00D71FB6" w:rsidRPr="000D3F79" w:rsidRDefault="00D71FB6" w:rsidP="008B2187">
            <w:pPr>
              <w:spacing w:line="240" w:lineRule="auto"/>
              <w:rPr>
                <w:rFonts w:ascii="Times New Roman" w:hAnsi="Times New Roman"/>
                <w:sz w:val="20"/>
                <w:szCs w:val="20"/>
              </w:rPr>
            </w:pPr>
            <w:r>
              <w:rPr>
                <w:rFonts w:ascii="Times New Roman" w:hAnsi="Times New Roman"/>
                <w:sz w:val="20"/>
                <w:szCs w:val="20"/>
              </w:rPr>
              <w:t xml:space="preserve">Jednostki akredytowane </w:t>
            </w:r>
          </w:p>
        </w:tc>
        <w:tc>
          <w:tcPr>
            <w:tcW w:w="2292" w:type="dxa"/>
            <w:gridSpan w:val="8"/>
            <w:shd w:val="clear" w:color="auto" w:fill="auto"/>
          </w:tcPr>
          <w:p w14:paraId="568D421A" w14:textId="167B72F9" w:rsidR="00D71FB6" w:rsidRPr="00F422B0" w:rsidRDefault="00D71FB6"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Trudne do oszacowania </w:t>
            </w:r>
          </w:p>
        </w:tc>
        <w:tc>
          <w:tcPr>
            <w:tcW w:w="2300" w:type="dxa"/>
            <w:gridSpan w:val="10"/>
            <w:shd w:val="clear" w:color="auto" w:fill="auto"/>
          </w:tcPr>
          <w:p w14:paraId="042DCE1E" w14:textId="77777777" w:rsidR="00D71FB6" w:rsidRPr="000D3F79" w:rsidRDefault="00D71FB6" w:rsidP="008B2187">
            <w:pPr>
              <w:spacing w:line="240" w:lineRule="auto"/>
              <w:rPr>
                <w:rFonts w:ascii="Times New Roman" w:hAnsi="Times New Roman"/>
                <w:spacing w:val="-2"/>
                <w:sz w:val="20"/>
                <w:szCs w:val="20"/>
              </w:rPr>
            </w:pPr>
          </w:p>
        </w:tc>
        <w:tc>
          <w:tcPr>
            <w:tcW w:w="3678" w:type="dxa"/>
            <w:gridSpan w:val="8"/>
            <w:shd w:val="clear" w:color="auto" w:fill="auto"/>
          </w:tcPr>
          <w:p w14:paraId="6C49133D" w14:textId="4D063F99" w:rsidR="00D71FB6" w:rsidRPr="008B0A70" w:rsidRDefault="00D71FB6" w:rsidP="00D71FB6">
            <w:pPr>
              <w:spacing w:line="240" w:lineRule="auto"/>
              <w:rPr>
                <w:rFonts w:ascii="Times New Roman" w:hAnsi="Times New Roman"/>
                <w:spacing w:val="-2"/>
                <w:sz w:val="20"/>
                <w:szCs w:val="20"/>
              </w:rPr>
            </w:pPr>
            <w:r>
              <w:rPr>
                <w:rFonts w:ascii="Times New Roman" w:hAnsi="Times New Roman"/>
                <w:spacing w:val="-2"/>
                <w:sz w:val="20"/>
                <w:szCs w:val="20"/>
              </w:rPr>
              <w:t xml:space="preserve">Możliwość świadczenia </w:t>
            </w:r>
            <w:r w:rsidR="0097714F">
              <w:rPr>
                <w:rFonts w:ascii="Times New Roman" w:hAnsi="Times New Roman"/>
                <w:spacing w:val="-2"/>
                <w:sz w:val="20"/>
                <w:szCs w:val="20"/>
              </w:rPr>
              <w:t xml:space="preserve">nowych </w:t>
            </w:r>
            <w:r>
              <w:rPr>
                <w:rFonts w:ascii="Times New Roman" w:hAnsi="Times New Roman"/>
                <w:spacing w:val="-2"/>
                <w:sz w:val="20"/>
                <w:szCs w:val="20"/>
              </w:rPr>
              <w:t xml:space="preserve">usług </w:t>
            </w:r>
            <w:r w:rsidRPr="00D71FB6">
              <w:rPr>
                <w:rFonts w:ascii="Times New Roman" w:hAnsi="Times New Roman"/>
                <w:spacing w:val="-2"/>
                <w:sz w:val="20"/>
                <w:szCs w:val="20"/>
              </w:rPr>
              <w:t>polegający</w:t>
            </w:r>
            <w:r w:rsidR="0097714F">
              <w:rPr>
                <w:rFonts w:ascii="Times New Roman" w:hAnsi="Times New Roman"/>
                <w:spacing w:val="-2"/>
                <w:sz w:val="20"/>
                <w:szCs w:val="20"/>
              </w:rPr>
              <w:t>ch</w:t>
            </w:r>
            <w:r w:rsidRPr="00D71FB6">
              <w:rPr>
                <w:rFonts w:ascii="Times New Roman" w:hAnsi="Times New Roman"/>
                <w:spacing w:val="-2"/>
                <w:sz w:val="20"/>
                <w:szCs w:val="20"/>
              </w:rPr>
              <w:t xml:space="preserve"> na weryfikacji danych znajdujących się we wniosku o wydanie gwarancji pochodzenia oraz przekazani</w:t>
            </w:r>
            <w:r w:rsidR="00A73C42">
              <w:rPr>
                <w:rFonts w:ascii="Times New Roman" w:hAnsi="Times New Roman"/>
                <w:spacing w:val="-2"/>
                <w:sz w:val="20"/>
                <w:szCs w:val="20"/>
              </w:rPr>
              <w:t>u</w:t>
            </w:r>
            <w:r w:rsidRPr="00D71FB6">
              <w:rPr>
                <w:rFonts w:ascii="Times New Roman" w:hAnsi="Times New Roman"/>
                <w:spacing w:val="-2"/>
                <w:sz w:val="20"/>
                <w:szCs w:val="20"/>
              </w:rPr>
              <w:t xml:space="preserve"> tego wniosku do URE.</w:t>
            </w:r>
            <w:r w:rsidR="004C0172">
              <w:rPr>
                <w:rFonts w:ascii="Times New Roman" w:hAnsi="Times New Roman"/>
                <w:spacing w:val="-2"/>
                <w:sz w:val="20"/>
                <w:szCs w:val="20"/>
              </w:rPr>
              <w:t xml:space="preserve"> </w:t>
            </w:r>
          </w:p>
        </w:tc>
      </w:tr>
      <w:tr w:rsidR="002632E1" w:rsidRPr="00687093" w14:paraId="47161E13" w14:textId="77777777" w:rsidTr="003D57D7">
        <w:trPr>
          <w:gridAfter w:val="1"/>
          <w:wAfter w:w="10" w:type="dxa"/>
          <w:trHeight w:val="142"/>
        </w:trPr>
        <w:tc>
          <w:tcPr>
            <w:tcW w:w="2667" w:type="dxa"/>
            <w:gridSpan w:val="3"/>
            <w:shd w:val="clear" w:color="auto" w:fill="auto"/>
          </w:tcPr>
          <w:p w14:paraId="6A996DF6" w14:textId="47943A4A" w:rsidR="002632E1" w:rsidRPr="000D3F79" w:rsidRDefault="004D5648" w:rsidP="008B2187">
            <w:pPr>
              <w:spacing w:line="240" w:lineRule="auto"/>
              <w:rPr>
                <w:rFonts w:ascii="Times New Roman" w:hAnsi="Times New Roman"/>
                <w:sz w:val="20"/>
                <w:szCs w:val="20"/>
              </w:rPr>
            </w:pPr>
            <w:r>
              <w:rPr>
                <w:rFonts w:ascii="Times New Roman" w:hAnsi="Times New Roman"/>
                <w:sz w:val="20"/>
                <w:szCs w:val="20"/>
              </w:rPr>
              <w:t>Polskie Centrum Akredytacji</w:t>
            </w:r>
            <w:r w:rsidR="004C0172">
              <w:rPr>
                <w:rFonts w:ascii="Times New Roman" w:hAnsi="Times New Roman"/>
                <w:sz w:val="20"/>
                <w:szCs w:val="20"/>
              </w:rPr>
              <w:t xml:space="preserve"> </w:t>
            </w:r>
          </w:p>
        </w:tc>
        <w:tc>
          <w:tcPr>
            <w:tcW w:w="2292" w:type="dxa"/>
            <w:gridSpan w:val="8"/>
            <w:shd w:val="clear" w:color="auto" w:fill="auto"/>
          </w:tcPr>
          <w:p w14:paraId="1B1C772C" w14:textId="178DA9B9" w:rsidR="002632E1" w:rsidRPr="00F422B0" w:rsidRDefault="004D5648"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2632E1">
              <w:rPr>
                <w:rFonts w:ascii="Times New Roman" w:eastAsia="Times New Roman" w:hAnsi="Times New Roman"/>
                <w:sz w:val="20"/>
                <w:szCs w:val="20"/>
                <w:lang w:eastAsia="pl-PL"/>
              </w:rPr>
              <w:t xml:space="preserve"> </w:t>
            </w:r>
          </w:p>
        </w:tc>
        <w:tc>
          <w:tcPr>
            <w:tcW w:w="2300" w:type="dxa"/>
            <w:gridSpan w:val="10"/>
            <w:shd w:val="clear" w:color="auto" w:fill="auto"/>
          </w:tcPr>
          <w:p w14:paraId="2E148FAD" w14:textId="3796AB51" w:rsidR="002632E1" w:rsidRPr="000D3F79" w:rsidRDefault="004D5648" w:rsidP="008B2187">
            <w:pPr>
              <w:spacing w:line="240" w:lineRule="auto"/>
              <w:rPr>
                <w:rFonts w:ascii="Times New Roman" w:hAnsi="Times New Roman"/>
                <w:spacing w:val="-2"/>
                <w:sz w:val="20"/>
                <w:szCs w:val="20"/>
              </w:rPr>
            </w:pPr>
            <w:r>
              <w:rPr>
                <w:rFonts w:ascii="Times New Roman" w:hAnsi="Times New Roman"/>
                <w:spacing w:val="-2"/>
                <w:sz w:val="20"/>
                <w:szCs w:val="20"/>
              </w:rPr>
              <w:t xml:space="preserve">Szacunki własne </w:t>
            </w:r>
          </w:p>
        </w:tc>
        <w:tc>
          <w:tcPr>
            <w:tcW w:w="3678" w:type="dxa"/>
            <w:gridSpan w:val="8"/>
            <w:shd w:val="clear" w:color="auto" w:fill="auto"/>
          </w:tcPr>
          <w:p w14:paraId="65D8BEA1" w14:textId="47C5CC59" w:rsidR="002632E1" w:rsidRPr="008B0A70" w:rsidRDefault="002632E1" w:rsidP="004D5648">
            <w:pPr>
              <w:spacing w:line="240" w:lineRule="auto"/>
              <w:rPr>
                <w:rFonts w:ascii="Times New Roman" w:hAnsi="Times New Roman"/>
                <w:spacing w:val="-2"/>
                <w:sz w:val="20"/>
                <w:szCs w:val="20"/>
              </w:rPr>
            </w:pPr>
            <w:r>
              <w:rPr>
                <w:rFonts w:ascii="Times New Roman" w:hAnsi="Times New Roman"/>
                <w:spacing w:val="-2"/>
                <w:sz w:val="20"/>
                <w:szCs w:val="20"/>
              </w:rPr>
              <w:t>Zwiększenie obcią</w:t>
            </w:r>
            <w:r w:rsidR="004D5648">
              <w:rPr>
                <w:rFonts w:ascii="Times New Roman" w:hAnsi="Times New Roman"/>
                <w:spacing w:val="-2"/>
                <w:sz w:val="20"/>
                <w:szCs w:val="20"/>
              </w:rPr>
              <w:t>żenia poprzez większ</w:t>
            </w:r>
            <w:r w:rsidR="00A73C42">
              <w:rPr>
                <w:rFonts w:ascii="Times New Roman" w:hAnsi="Times New Roman"/>
                <w:spacing w:val="-2"/>
                <w:sz w:val="20"/>
                <w:szCs w:val="20"/>
              </w:rPr>
              <w:t>ą</w:t>
            </w:r>
            <w:r w:rsidR="004D5648">
              <w:rPr>
                <w:rFonts w:ascii="Times New Roman" w:hAnsi="Times New Roman"/>
                <w:spacing w:val="-2"/>
                <w:sz w:val="20"/>
                <w:szCs w:val="20"/>
              </w:rPr>
              <w:t xml:space="preserve"> ilość składanych wniosków o wydanie akredytacji ze względu na</w:t>
            </w:r>
            <w:r w:rsidR="00A73C42">
              <w:rPr>
                <w:rFonts w:ascii="Times New Roman" w:hAnsi="Times New Roman"/>
                <w:spacing w:val="-2"/>
                <w:sz w:val="20"/>
                <w:szCs w:val="20"/>
              </w:rPr>
              <w:t xml:space="preserve"> regulację, zgodnie  z którą</w:t>
            </w:r>
            <w:r w:rsidR="004D5648">
              <w:rPr>
                <w:rFonts w:ascii="Times New Roman" w:hAnsi="Times New Roman"/>
                <w:spacing w:val="-2"/>
                <w:sz w:val="20"/>
                <w:szCs w:val="20"/>
              </w:rPr>
              <w:t xml:space="preserve"> </w:t>
            </w:r>
            <w:r>
              <w:rPr>
                <w:rFonts w:ascii="Times New Roman" w:hAnsi="Times New Roman"/>
                <w:spacing w:val="-2"/>
                <w:sz w:val="20"/>
                <w:szCs w:val="20"/>
              </w:rPr>
              <w:t>weryfikacji danych znajdujących się we wniosku o wydanie gwarancji pochodzenia oraz przekazani</w:t>
            </w:r>
            <w:r w:rsidR="00A73C42">
              <w:rPr>
                <w:rFonts w:ascii="Times New Roman" w:hAnsi="Times New Roman"/>
                <w:spacing w:val="-2"/>
                <w:sz w:val="20"/>
                <w:szCs w:val="20"/>
              </w:rPr>
              <w:t>a</w:t>
            </w:r>
            <w:r>
              <w:rPr>
                <w:rFonts w:ascii="Times New Roman" w:hAnsi="Times New Roman"/>
                <w:spacing w:val="-2"/>
                <w:sz w:val="20"/>
                <w:szCs w:val="20"/>
              </w:rPr>
              <w:t xml:space="preserve"> tego wniosku do URE</w:t>
            </w:r>
            <w:r w:rsidR="00A73C42">
              <w:rPr>
                <w:rFonts w:ascii="Times New Roman" w:hAnsi="Times New Roman"/>
                <w:spacing w:val="-2"/>
                <w:sz w:val="20"/>
                <w:szCs w:val="20"/>
              </w:rPr>
              <w:t xml:space="preserve"> dokonują jednostki akredytowane</w:t>
            </w:r>
          </w:p>
        </w:tc>
      </w:tr>
      <w:tr w:rsidR="009574FE" w:rsidRPr="00687093" w14:paraId="39173D18" w14:textId="77777777" w:rsidTr="003D57D7">
        <w:trPr>
          <w:gridAfter w:val="1"/>
          <w:wAfter w:w="10" w:type="dxa"/>
          <w:trHeight w:val="142"/>
        </w:trPr>
        <w:tc>
          <w:tcPr>
            <w:tcW w:w="2667" w:type="dxa"/>
            <w:gridSpan w:val="3"/>
            <w:shd w:val="clear" w:color="auto" w:fill="auto"/>
          </w:tcPr>
          <w:p w14:paraId="4E58F944" w14:textId="1D91475E" w:rsidR="009574FE" w:rsidRPr="000D3F79" w:rsidRDefault="009574FE" w:rsidP="008B2187">
            <w:pPr>
              <w:spacing w:line="240" w:lineRule="auto"/>
              <w:rPr>
                <w:rFonts w:ascii="Times New Roman" w:hAnsi="Times New Roman"/>
                <w:sz w:val="20"/>
                <w:szCs w:val="20"/>
              </w:rPr>
            </w:pPr>
            <w:r>
              <w:rPr>
                <w:rFonts w:ascii="Times New Roman" w:hAnsi="Times New Roman"/>
                <w:sz w:val="20"/>
                <w:szCs w:val="20"/>
              </w:rPr>
              <w:t xml:space="preserve">Towarowa Giełda Energii </w:t>
            </w:r>
          </w:p>
        </w:tc>
        <w:tc>
          <w:tcPr>
            <w:tcW w:w="2292" w:type="dxa"/>
            <w:gridSpan w:val="8"/>
            <w:shd w:val="clear" w:color="auto" w:fill="auto"/>
          </w:tcPr>
          <w:p w14:paraId="465F89CF" w14:textId="6E9FC533" w:rsidR="009574FE" w:rsidRPr="00F422B0" w:rsidRDefault="009574FE"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w:t>
            </w:r>
          </w:p>
        </w:tc>
        <w:tc>
          <w:tcPr>
            <w:tcW w:w="2300" w:type="dxa"/>
            <w:gridSpan w:val="10"/>
            <w:shd w:val="clear" w:color="auto" w:fill="auto"/>
          </w:tcPr>
          <w:p w14:paraId="5A369773" w14:textId="238F3F88" w:rsidR="009574FE" w:rsidRPr="000D3F79" w:rsidRDefault="009574FE" w:rsidP="008B2187">
            <w:pPr>
              <w:spacing w:line="240" w:lineRule="auto"/>
              <w:rPr>
                <w:rFonts w:ascii="Times New Roman" w:hAnsi="Times New Roman"/>
                <w:spacing w:val="-2"/>
                <w:sz w:val="20"/>
                <w:szCs w:val="20"/>
              </w:rPr>
            </w:pPr>
            <w:r>
              <w:rPr>
                <w:rFonts w:ascii="Times New Roman" w:hAnsi="Times New Roman"/>
                <w:spacing w:val="-2"/>
                <w:sz w:val="20"/>
                <w:szCs w:val="20"/>
              </w:rPr>
              <w:t xml:space="preserve">Szacunki własne </w:t>
            </w:r>
          </w:p>
        </w:tc>
        <w:tc>
          <w:tcPr>
            <w:tcW w:w="3678" w:type="dxa"/>
            <w:gridSpan w:val="8"/>
            <w:shd w:val="clear" w:color="auto" w:fill="auto"/>
          </w:tcPr>
          <w:p w14:paraId="7B5CFB07" w14:textId="387B3DEB" w:rsidR="009574FE" w:rsidRPr="008B0A70" w:rsidRDefault="009574FE" w:rsidP="008B2187">
            <w:pPr>
              <w:spacing w:line="240" w:lineRule="auto"/>
              <w:rPr>
                <w:rFonts w:ascii="Times New Roman" w:hAnsi="Times New Roman"/>
                <w:spacing w:val="-2"/>
                <w:sz w:val="20"/>
                <w:szCs w:val="20"/>
              </w:rPr>
            </w:pPr>
            <w:r w:rsidRPr="009574FE">
              <w:rPr>
                <w:rFonts w:ascii="Times New Roman" w:hAnsi="Times New Roman"/>
                <w:spacing w:val="-2"/>
                <w:sz w:val="20"/>
                <w:szCs w:val="20"/>
              </w:rPr>
              <w:t>Zwiększenie obciążenia poprzez dostosowanie rejestru gwarancji pochodzenia, do zmian wynikających ze zmiany przepisów</w:t>
            </w:r>
            <w:r w:rsidR="00A73C42">
              <w:rPr>
                <w:rFonts w:ascii="Times New Roman" w:hAnsi="Times New Roman"/>
                <w:spacing w:val="-2"/>
                <w:sz w:val="20"/>
                <w:szCs w:val="20"/>
              </w:rPr>
              <w:t xml:space="preserve"> (poszerzenie zakresu danych wpisywanych do rejestru)</w:t>
            </w:r>
            <w:r w:rsidRPr="009574FE">
              <w:rPr>
                <w:rFonts w:ascii="Times New Roman" w:hAnsi="Times New Roman"/>
                <w:spacing w:val="-2"/>
                <w:sz w:val="20"/>
                <w:szCs w:val="20"/>
              </w:rPr>
              <w:t xml:space="preserve"> oraz uiszczanie opłaty członkowskiej w stowarzyszeniu </w:t>
            </w:r>
            <w:proofErr w:type="spellStart"/>
            <w:r w:rsidRPr="009574FE">
              <w:rPr>
                <w:rFonts w:ascii="Times New Roman" w:hAnsi="Times New Roman"/>
                <w:spacing w:val="-2"/>
                <w:sz w:val="20"/>
                <w:szCs w:val="20"/>
              </w:rPr>
              <w:t>AiB</w:t>
            </w:r>
            <w:proofErr w:type="spellEnd"/>
            <w:r w:rsidR="00467D13">
              <w:rPr>
                <w:rFonts w:ascii="Times New Roman" w:hAnsi="Times New Roman"/>
                <w:spacing w:val="-2"/>
                <w:sz w:val="20"/>
                <w:szCs w:val="20"/>
              </w:rPr>
              <w:t>.</w:t>
            </w:r>
          </w:p>
        </w:tc>
      </w:tr>
      <w:tr w:rsidR="00A46CD2" w:rsidRPr="00687093" w14:paraId="7CB50723" w14:textId="77777777" w:rsidTr="003D57D7">
        <w:trPr>
          <w:gridAfter w:val="1"/>
          <w:wAfter w:w="10" w:type="dxa"/>
          <w:trHeight w:val="142"/>
        </w:trPr>
        <w:tc>
          <w:tcPr>
            <w:tcW w:w="2667" w:type="dxa"/>
            <w:gridSpan w:val="3"/>
            <w:shd w:val="clear" w:color="auto" w:fill="auto"/>
          </w:tcPr>
          <w:p w14:paraId="5A909333" w14:textId="066CAD25" w:rsidR="00A46CD2" w:rsidRPr="000D3F79" w:rsidRDefault="00862664" w:rsidP="008B2187">
            <w:pPr>
              <w:spacing w:line="240" w:lineRule="auto"/>
              <w:rPr>
                <w:rFonts w:ascii="Times New Roman" w:hAnsi="Times New Roman"/>
                <w:sz w:val="20"/>
                <w:szCs w:val="20"/>
              </w:rPr>
            </w:pPr>
            <w:r w:rsidRPr="00862664">
              <w:rPr>
                <w:rFonts w:ascii="Times New Roman" w:hAnsi="Times New Roman"/>
                <w:sz w:val="20"/>
                <w:szCs w:val="20"/>
              </w:rPr>
              <w:t>Wytwórcy energii w morskich farmach wiatrowych</w:t>
            </w:r>
          </w:p>
        </w:tc>
        <w:tc>
          <w:tcPr>
            <w:tcW w:w="2292" w:type="dxa"/>
            <w:gridSpan w:val="8"/>
            <w:shd w:val="clear" w:color="auto" w:fill="auto"/>
          </w:tcPr>
          <w:p w14:paraId="776BEB95" w14:textId="0DB22A35" w:rsidR="00A46CD2" w:rsidRPr="00F422B0" w:rsidRDefault="00A46CD2" w:rsidP="008B2187">
            <w:pPr>
              <w:spacing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kilkanaście</w:t>
            </w:r>
          </w:p>
        </w:tc>
        <w:tc>
          <w:tcPr>
            <w:tcW w:w="2300" w:type="dxa"/>
            <w:gridSpan w:val="10"/>
            <w:shd w:val="clear" w:color="auto" w:fill="auto"/>
          </w:tcPr>
          <w:p w14:paraId="0239AE17" w14:textId="6CBBDD1E" w:rsidR="00A46CD2" w:rsidRPr="000D3F79" w:rsidRDefault="00A46CD2" w:rsidP="008B2187">
            <w:pPr>
              <w:spacing w:line="240" w:lineRule="auto"/>
              <w:rPr>
                <w:rFonts w:ascii="Times New Roman" w:hAnsi="Times New Roman"/>
                <w:spacing w:val="-2"/>
                <w:sz w:val="20"/>
                <w:szCs w:val="20"/>
              </w:rPr>
            </w:pPr>
            <w:r>
              <w:rPr>
                <w:rFonts w:ascii="Times New Roman" w:hAnsi="Times New Roman"/>
                <w:spacing w:val="-2"/>
                <w:sz w:val="20"/>
                <w:szCs w:val="20"/>
              </w:rPr>
              <w:t>Szacunki własne</w:t>
            </w:r>
          </w:p>
        </w:tc>
        <w:tc>
          <w:tcPr>
            <w:tcW w:w="3678" w:type="dxa"/>
            <w:gridSpan w:val="8"/>
            <w:shd w:val="clear" w:color="auto" w:fill="auto"/>
          </w:tcPr>
          <w:p w14:paraId="79D85EAD" w14:textId="43BA0832" w:rsidR="00A46CD2" w:rsidRPr="00B96346" w:rsidDel="00541620" w:rsidRDefault="00FF393D" w:rsidP="008B2187">
            <w:pPr>
              <w:spacing w:line="240" w:lineRule="auto"/>
              <w:rPr>
                <w:rFonts w:ascii="Times New Roman" w:hAnsi="Times New Roman"/>
                <w:spacing w:val="-2"/>
                <w:sz w:val="20"/>
                <w:szCs w:val="20"/>
              </w:rPr>
            </w:pPr>
            <w:r>
              <w:rPr>
                <w:rFonts w:ascii="Times New Roman" w:hAnsi="Times New Roman"/>
                <w:spacing w:val="-2"/>
                <w:sz w:val="20"/>
                <w:szCs w:val="20"/>
              </w:rPr>
              <w:t>Obniżenie ryzyka regulacyjnego, w związku z rozstrzygnięciem wątpliwości interpretacyjnych</w:t>
            </w:r>
          </w:p>
        </w:tc>
      </w:tr>
      <w:tr w:rsidR="00E55078" w:rsidRPr="00687093" w14:paraId="1F8B34F5" w14:textId="77777777" w:rsidTr="003D57D7">
        <w:trPr>
          <w:gridAfter w:val="1"/>
          <w:wAfter w:w="10" w:type="dxa"/>
          <w:trHeight w:val="142"/>
        </w:trPr>
        <w:tc>
          <w:tcPr>
            <w:tcW w:w="2667" w:type="dxa"/>
            <w:gridSpan w:val="3"/>
            <w:shd w:val="clear" w:color="auto" w:fill="auto"/>
          </w:tcPr>
          <w:p w14:paraId="41097E15" w14:textId="37B49098" w:rsidR="00E55078" w:rsidRPr="00E55078" w:rsidRDefault="00E55078" w:rsidP="00E55078">
            <w:pPr>
              <w:spacing w:line="240" w:lineRule="auto"/>
              <w:rPr>
                <w:rFonts w:ascii="Times New Roman" w:hAnsi="Times New Roman"/>
                <w:sz w:val="20"/>
                <w:szCs w:val="20"/>
              </w:rPr>
            </w:pPr>
            <w:r w:rsidRPr="00E55078">
              <w:rPr>
                <w:rFonts w:ascii="Times New Roman" w:hAnsi="Times New Roman"/>
                <w:sz w:val="20"/>
                <w:szCs w:val="20"/>
              </w:rPr>
              <w:t>Minister Infrastruktury</w:t>
            </w:r>
          </w:p>
        </w:tc>
        <w:tc>
          <w:tcPr>
            <w:tcW w:w="2292" w:type="dxa"/>
            <w:gridSpan w:val="8"/>
            <w:shd w:val="clear" w:color="auto" w:fill="auto"/>
          </w:tcPr>
          <w:p w14:paraId="2436D08F" w14:textId="251BE2AD" w:rsidR="00E55078" w:rsidRPr="00E55078" w:rsidRDefault="00E55078" w:rsidP="00E55078">
            <w:pPr>
              <w:spacing w:line="240" w:lineRule="auto"/>
              <w:rPr>
                <w:rFonts w:ascii="Times New Roman" w:eastAsia="Times New Roman" w:hAnsi="Times New Roman"/>
                <w:sz w:val="20"/>
                <w:szCs w:val="20"/>
                <w:lang w:eastAsia="pl-PL"/>
              </w:rPr>
            </w:pPr>
            <w:r w:rsidRPr="00E55078">
              <w:rPr>
                <w:rFonts w:ascii="Times New Roman" w:hAnsi="Times New Roman"/>
                <w:sz w:val="20"/>
                <w:szCs w:val="20"/>
              </w:rPr>
              <w:t>1</w:t>
            </w:r>
          </w:p>
        </w:tc>
        <w:tc>
          <w:tcPr>
            <w:tcW w:w="2300" w:type="dxa"/>
            <w:gridSpan w:val="10"/>
            <w:shd w:val="clear" w:color="auto" w:fill="auto"/>
          </w:tcPr>
          <w:p w14:paraId="65EBCB20" w14:textId="39D3C26B"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Szacunki własne</w:t>
            </w:r>
          </w:p>
        </w:tc>
        <w:tc>
          <w:tcPr>
            <w:tcW w:w="3678" w:type="dxa"/>
            <w:gridSpan w:val="8"/>
            <w:shd w:val="clear" w:color="auto" w:fill="auto"/>
          </w:tcPr>
          <w:p w14:paraId="21DC67EA" w14:textId="0BD645DC"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Zwiększenie obciążenia w związku z wydawaniem decyzji o wydłużeniu pozwolenia, o którym mowa w art. 23 ust. 1 i uzgodnienia, o którym mowa w art. 27 ust. 1 ustawy o obszarach morskich</w:t>
            </w:r>
          </w:p>
        </w:tc>
      </w:tr>
      <w:tr w:rsidR="00E55078" w:rsidRPr="00687093" w14:paraId="7B533E9A" w14:textId="77777777" w:rsidTr="003D57D7">
        <w:trPr>
          <w:gridAfter w:val="1"/>
          <w:wAfter w:w="10" w:type="dxa"/>
          <w:trHeight w:val="142"/>
        </w:trPr>
        <w:tc>
          <w:tcPr>
            <w:tcW w:w="2667" w:type="dxa"/>
            <w:gridSpan w:val="3"/>
            <w:shd w:val="clear" w:color="auto" w:fill="auto"/>
          </w:tcPr>
          <w:p w14:paraId="211559C1" w14:textId="3642CB3C" w:rsidR="00E55078" w:rsidRPr="00E55078" w:rsidRDefault="00E55078" w:rsidP="00E55078">
            <w:pPr>
              <w:spacing w:line="240" w:lineRule="auto"/>
              <w:rPr>
                <w:rFonts w:ascii="Times New Roman" w:hAnsi="Times New Roman"/>
                <w:sz w:val="20"/>
                <w:szCs w:val="20"/>
              </w:rPr>
            </w:pPr>
            <w:r w:rsidRPr="00E55078">
              <w:rPr>
                <w:rFonts w:ascii="Times New Roman" w:hAnsi="Times New Roman"/>
                <w:sz w:val="20"/>
                <w:szCs w:val="20"/>
              </w:rPr>
              <w:t>Dyrektorzy Urzędów Morskich</w:t>
            </w:r>
          </w:p>
        </w:tc>
        <w:tc>
          <w:tcPr>
            <w:tcW w:w="2292" w:type="dxa"/>
            <w:gridSpan w:val="8"/>
            <w:shd w:val="clear" w:color="auto" w:fill="auto"/>
          </w:tcPr>
          <w:p w14:paraId="4B20F616" w14:textId="3B7B8D1F" w:rsidR="00E55078" w:rsidRPr="00E55078" w:rsidRDefault="00E55078" w:rsidP="00E55078">
            <w:pPr>
              <w:spacing w:line="240" w:lineRule="auto"/>
              <w:rPr>
                <w:rFonts w:ascii="Times New Roman" w:eastAsia="Times New Roman" w:hAnsi="Times New Roman"/>
                <w:sz w:val="20"/>
                <w:szCs w:val="20"/>
                <w:lang w:eastAsia="pl-PL"/>
              </w:rPr>
            </w:pPr>
            <w:r w:rsidRPr="00E55078">
              <w:rPr>
                <w:rFonts w:ascii="Times New Roman" w:hAnsi="Times New Roman"/>
                <w:sz w:val="20"/>
                <w:szCs w:val="20"/>
              </w:rPr>
              <w:t>2</w:t>
            </w:r>
          </w:p>
        </w:tc>
        <w:tc>
          <w:tcPr>
            <w:tcW w:w="2300" w:type="dxa"/>
            <w:gridSpan w:val="10"/>
            <w:shd w:val="clear" w:color="auto" w:fill="auto"/>
          </w:tcPr>
          <w:p w14:paraId="4A8D93F1" w14:textId="0DE1AD50"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Szacunki własne</w:t>
            </w:r>
          </w:p>
        </w:tc>
        <w:tc>
          <w:tcPr>
            <w:tcW w:w="3678" w:type="dxa"/>
            <w:gridSpan w:val="8"/>
            <w:shd w:val="clear" w:color="auto" w:fill="auto"/>
          </w:tcPr>
          <w:p w14:paraId="3471583F" w14:textId="25C2A1BE" w:rsidR="00E55078" w:rsidRPr="00E55078" w:rsidRDefault="00E55078" w:rsidP="00E55078">
            <w:pPr>
              <w:spacing w:line="240" w:lineRule="auto"/>
              <w:rPr>
                <w:rFonts w:ascii="Times New Roman" w:hAnsi="Times New Roman"/>
                <w:spacing w:val="-2"/>
                <w:sz w:val="20"/>
                <w:szCs w:val="20"/>
              </w:rPr>
            </w:pPr>
            <w:r w:rsidRPr="00E55078">
              <w:rPr>
                <w:rFonts w:ascii="Times New Roman" w:hAnsi="Times New Roman"/>
                <w:sz w:val="20"/>
                <w:szCs w:val="20"/>
              </w:rPr>
              <w:t>Zwiększenie obciążenia w związku z wydawaniem decyzji o wydłużeniu pozwolenia, o którym mowa w art. 26 ust. 1 ustawy o obszarach morskich</w:t>
            </w:r>
          </w:p>
        </w:tc>
      </w:tr>
      <w:tr w:rsidR="008B2187" w:rsidRPr="00687093" w14:paraId="0E4831D7" w14:textId="77777777" w:rsidTr="00676C8D">
        <w:trPr>
          <w:gridAfter w:val="1"/>
          <w:wAfter w:w="10" w:type="dxa"/>
          <w:trHeight w:val="302"/>
        </w:trPr>
        <w:tc>
          <w:tcPr>
            <w:tcW w:w="10937" w:type="dxa"/>
            <w:gridSpan w:val="29"/>
            <w:shd w:val="clear" w:color="auto" w:fill="99CCFF"/>
            <w:vAlign w:val="center"/>
          </w:tcPr>
          <w:p w14:paraId="6F042D3B"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t>Informacje na temat zakresu, czasu trwania i podsumowanie wyników konsultacji</w:t>
            </w:r>
          </w:p>
        </w:tc>
      </w:tr>
      <w:tr w:rsidR="008B2187" w:rsidRPr="00687093" w14:paraId="77F7BFF0" w14:textId="77777777" w:rsidTr="00676C8D">
        <w:trPr>
          <w:gridAfter w:val="1"/>
          <w:wAfter w:w="10" w:type="dxa"/>
          <w:trHeight w:val="342"/>
        </w:trPr>
        <w:tc>
          <w:tcPr>
            <w:tcW w:w="10937" w:type="dxa"/>
            <w:gridSpan w:val="29"/>
            <w:shd w:val="clear" w:color="auto" w:fill="FFFFFF"/>
          </w:tcPr>
          <w:p w14:paraId="5BCCAA4E" w14:textId="72DFB0E6" w:rsidR="008B2187" w:rsidRPr="00D34F3C" w:rsidRDefault="008B2187" w:rsidP="008B2187">
            <w:pPr>
              <w:spacing w:after="120" w:line="240" w:lineRule="auto"/>
              <w:jc w:val="both"/>
              <w:rPr>
                <w:rFonts w:ascii="Times New Roman" w:hAnsi="Times New Roman"/>
              </w:rPr>
            </w:pPr>
            <w:r w:rsidRPr="00D34F3C">
              <w:rPr>
                <w:rFonts w:ascii="Times New Roman" w:hAnsi="Times New Roman"/>
              </w:rPr>
              <w:t xml:space="preserve">Projekt ustawy w zakresie rozwiązań przygotowanych dla sektora </w:t>
            </w:r>
            <w:proofErr w:type="spellStart"/>
            <w:r w:rsidRPr="00D34F3C">
              <w:rPr>
                <w:rFonts w:ascii="Times New Roman" w:hAnsi="Times New Roman"/>
              </w:rPr>
              <w:t>biometanu</w:t>
            </w:r>
            <w:proofErr w:type="spellEnd"/>
            <w:r w:rsidRPr="00D34F3C">
              <w:rPr>
                <w:rFonts w:ascii="Times New Roman" w:hAnsi="Times New Roman"/>
              </w:rPr>
              <w:t xml:space="preserve"> podlegał roboczym, wstępnym uzgodnieniom z Ministerstwem Rolnictwa i Rozwoju Wsi, Ministerstwem Rozwoju</w:t>
            </w:r>
            <w:r>
              <w:rPr>
                <w:rFonts w:ascii="Times New Roman" w:hAnsi="Times New Roman"/>
              </w:rPr>
              <w:t>, Pracy i Technologii</w:t>
            </w:r>
            <w:r w:rsidRPr="00D34F3C">
              <w:rPr>
                <w:rFonts w:ascii="Times New Roman" w:hAnsi="Times New Roman"/>
              </w:rPr>
              <w:t>, URE oraz KOWR.</w:t>
            </w:r>
            <w:r>
              <w:rPr>
                <w:rFonts w:ascii="Times New Roman" w:hAnsi="Times New Roman"/>
              </w:rPr>
              <w:t xml:space="preserve"> </w:t>
            </w:r>
          </w:p>
          <w:p w14:paraId="7930856B" w14:textId="79CAEAB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Projekt, zgodnie z art. 5 ustawy z dnia 7 lipca 2005 r. </w:t>
            </w:r>
            <w:r w:rsidRPr="00D34F3C">
              <w:rPr>
                <w:rFonts w:ascii="Times New Roman" w:hAnsi="Times New Roman"/>
                <w:color w:val="000000"/>
                <w:spacing w:val="-2"/>
              </w:rPr>
              <w:t>o działalności lobbingowej w procesie stanowienia prawa</w:t>
            </w:r>
            <w:r w:rsidRPr="00687093">
              <w:rPr>
                <w:rFonts w:ascii="Times New Roman" w:hAnsi="Times New Roman"/>
                <w:color w:val="000000"/>
                <w:spacing w:val="-2"/>
              </w:rPr>
              <w:t xml:space="preserve"> i § 52 uchwały nr 190 Rady Ministrów z dnia 29 października 2013 r. – </w:t>
            </w:r>
            <w:r w:rsidRPr="00D34F3C">
              <w:rPr>
                <w:rFonts w:ascii="Times New Roman" w:hAnsi="Times New Roman"/>
                <w:color w:val="000000"/>
                <w:spacing w:val="-2"/>
              </w:rPr>
              <w:t>Regulamin pracy Rady Ministrów</w:t>
            </w:r>
            <w:r w:rsidRPr="00687093">
              <w:rPr>
                <w:rFonts w:ascii="Times New Roman" w:hAnsi="Times New Roman"/>
                <w:color w:val="000000"/>
                <w:spacing w:val="-2"/>
              </w:rPr>
              <w:t xml:space="preserve">, zostanie udostępniony w Biuletynie Informacji Publicznej, na stronie podmiotowej Rządowego Centrum Legislacji, w serwisie Rządowy Proces Legislacyjny. </w:t>
            </w:r>
          </w:p>
          <w:p w14:paraId="60F9F3EB" w14:textId="5586AD87" w:rsidR="008B2187" w:rsidRPr="00D34F3C" w:rsidRDefault="008B2187" w:rsidP="008B2187">
            <w:pPr>
              <w:spacing w:after="120" w:line="240" w:lineRule="auto"/>
              <w:jc w:val="both"/>
              <w:rPr>
                <w:rFonts w:ascii="Times New Roman" w:hAnsi="Times New Roman"/>
              </w:rPr>
            </w:pPr>
            <w:r w:rsidRPr="00D34F3C">
              <w:rPr>
                <w:rFonts w:ascii="Times New Roman" w:hAnsi="Times New Roman"/>
              </w:rPr>
              <w:lastRenderedPageBreak/>
              <w:t xml:space="preserve">Projekt ustawy zostanie </w:t>
            </w:r>
            <w:r w:rsidR="0038470F">
              <w:rPr>
                <w:rFonts w:ascii="Times New Roman" w:hAnsi="Times New Roman"/>
              </w:rPr>
              <w:t xml:space="preserve">przekazany do konsultacji </w:t>
            </w:r>
            <w:r w:rsidRPr="00D34F3C">
              <w:rPr>
                <w:rFonts w:ascii="Times New Roman" w:hAnsi="Times New Roman"/>
              </w:rPr>
              <w:t xml:space="preserve">(21 dni) </w:t>
            </w:r>
            <w:r w:rsidR="0038470F">
              <w:rPr>
                <w:rFonts w:ascii="Times New Roman" w:hAnsi="Times New Roman"/>
              </w:rPr>
              <w:t>do następujących podmiotów</w:t>
            </w:r>
            <w:r w:rsidRPr="00D34F3C">
              <w:rPr>
                <w:rFonts w:ascii="Times New Roman" w:hAnsi="Times New Roman"/>
              </w:rPr>
              <w:t>:</w:t>
            </w:r>
          </w:p>
          <w:p w14:paraId="69E63955" w14:textId="77777777" w:rsidR="008B2187" w:rsidRPr="00DB6195" w:rsidRDefault="008B2187" w:rsidP="008B2187">
            <w:pPr>
              <w:numPr>
                <w:ilvl w:val="0"/>
                <w:numId w:val="72"/>
              </w:numPr>
              <w:jc w:val="both"/>
              <w:rPr>
                <w:rFonts w:ascii="Times New Roman" w:hAnsi="Times New Roman"/>
              </w:rPr>
            </w:pPr>
            <w:r w:rsidRPr="00DB6195">
              <w:rPr>
                <w:rFonts w:ascii="Times New Roman" w:hAnsi="Times New Roman"/>
              </w:rPr>
              <w:t>Enea Operator Sp. z o.o.;</w:t>
            </w:r>
          </w:p>
          <w:p w14:paraId="40326F9C" w14:textId="77777777" w:rsidR="008B2187" w:rsidRPr="006B1E60" w:rsidRDefault="008B2187" w:rsidP="008B2187">
            <w:pPr>
              <w:numPr>
                <w:ilvl w:val="0"/>
                <w:numId w:val="72"/>
              </w:numPr>
              <w:jc w:val="both"/>
              <w:rPr>
                <w:rFonts w:ascii="Times New Roman" w:hAnsi="Times New Roman"/>
              </w:rPr>
            </w:pPr>
            <w:r w:rsidRPr="006B1E60">
              <w:rPr>
                <w:rFonts w:ascii="Times New Roman" w:hAnsi="Times New Roman"/>
              </w:rPr>
              <w:t>Energa-Operator S.A.;</w:t>
            </w:r>
          </w:p>
          <w:p w14:paraId="69F08591" w14:textId="77777777" w:rsidR="008B2187" w:rsidRPr="00B64532" w:rsidRDefault="008B2187" w:rsidP="008B2187">
            <w:pPr>
              <w:numPr>
                <w:ilvl w:val="0"/>
                <w:numId w:val="72"/>
              </w:numPr>
              <w:jc w:val="both"/>
              <w:rPr>
                <w:rFonts w:ascii="Times New Roman" w:hAnsi="Times New Roman"/>
              </w:rPr>
            </w:pPr>
            <w:proofErr w:type="spellStart"/>
            <w:r w:rsidRPr="0051064B">
              <w:rPr>
                <w:rFonts w:ascii="Times New Roman" w:hAnsi="Times New Roman"/>
              </w:rPr>
              <w:t>i</w:t>
            </w:r>
            <w:r w:rsidRPr="00B64532">
              <w:rPr>
                <w:rFonts w:ascii="Times New Roman" w:hAnsi="Times New Roman"/>
              </w:rPr>
              <w:t>nnogy</w:t>
            </w:r>
            <w:proofErr w:type="spellEnd"/>
            <w:r w:rsidRPr="00B64532">
              <w:rPr>
                <w:rFonts w:ascii="Times New Roman" w:hAnsi="Times New Roman"/>
              </w:rPr>
              <w:t xml:space="preserve"> Stoen Operator Sp. z o.o.;</w:t>
            </w:r>
          </w:p>
          <w:p w14:paraId="4B40F9F8" w14:textId="77777777" w:rsidR="008B2187" w:rsidRPr="00A47424" w:rsidRDefault="008B2187" w:rsidP="008B2187">
            <w:pPr>
              <w:numPr>
                <w:ilvl w:val="0"/>
                <w:numId w:val="72"/>
              </w:numPr>
              <w:jc w:val="both"/>
              <w:rPr>
                <w:rFonts w:ascii="Times New Roman" w:hAnsi="Times New Roman"/>
              </w:rPr>
            </w:pPr>
            <w:r w:rsidRPr="00A47424">
              <w:rPr>
                <w:rFonts w:ascii="Times New Roman" w:hAnsi="Times New Roman"/>
              </w:rPr>
              <w:t>PGE Dystrybucja S.A.;</w:t>
            </w:r>
          </w:p>
          <w:p w14:paraId="16C28752" w14:textId="77777777" w:rsidR="008B2187" w:rsidRPr="0018566E" w:rsidRDefault="008B2187" w:rsidP="008B2187">
            <w:pPr>
              <w:numPr>
                <w:ilvl w:val="0"/>
                <w:numId w:val="72"/>
              </w:numPr>
              <w:jc w:val="both"/>
              <w:rPr>
                <w:rFonts w:ascii="Times New Roman" w:hAnsi="Times New Roman"/>
              </w:rPr>
            </w:pPr>
            <w:r w:rsidRPr="0018566E">
              <w:rPr>
                <w:rFonts w:ascii="Times New Roman" w:hAnsi="Times New Roman"/>
              </w:rPr>
              <w:t>Tauron Dystrybucja S.A.;</w:t>
            </w:r>
          </w:p>
          <w:p w14:paraId="3FCE21AA" w14:textId="77777777" w:rsidR="008B2187" w:rsidRPr="00A516F9" w:rsidRDefault="008B2187" w:rsidP="008B2187">
            <w:pPr>
              <w:numPr>
                <w:ilvl w:val="0"/>
                <w:numId w:val="72"/>
              </w:numPr>
              <w:jc w:val="both"/>
              <w:rPr>
                <w:rFonts w:ascii="Times New Roman" w:hAnsi="Times New Roman"/>
              </w:rPr>
            </w:pPr>
            <w:r w:rsidRPr="00A516F9">
              <w:rPr>
                <w:rFonts w:ascii="Times New Roman" w:hAnsi="Times New Roman"/>
              </w:rPr>
              <w:t>PKP Energetyka S.A.;</w:t>
            </w:r>
          </w:p>
          <w:p w14:paraId="61EE5E88" w14:textId="77777777" w:rsidR="008B2187" w:rsidRPr="00A47424" w:rsidRDefault="008B2187" w:rsidP="008B2187">
            <w:pPr>
              <w:numPr>
                <w:ilvl w:val="0"/>
                <w:numId w:val="72"/>
              </w:numPr>
              <w:jc w:val="both"/>
              <w:rPr>
                <w:rFonts w:ascii="Times New Roman" w:hAnsi="Times New Roman"/>
              </w:rPr>
            </w:pPr>
            <w:r w:rsidRPr="00A47424">
              <w:rPr>
                <w:rFonts w:ascii="Times New Roman" w:hAnsi="Times New Roman"/>
              </w:rPr>
              <w:t>Polski Koncern Naftowy ORLEN S.A.;</w:t>
            </w:r>
          </w:p>
          <w:p w14:paraId="10AD7734" w14:textId="77777777" w:rsidR="008B2187" w:rsidRPr="00444EC5" w:rsidRDefault="008B2187" w:rsidP="008B2187">
            <w:pPr>
              <w:numPr>
                <w:ilvl w:val="0"/>
                <w:numId w:val="72"/>
              </w:numPr>
              <w:jc w:val="both"/>
              <w:rPr>
                <w:rFonts w:ascii="Times New Roman" w:hAnsi="Times New Roman"/>
              </w:rPr>
            </w:pPr>
            <w:proofErr w:type="spellStart"/>
            <w:r w:rsidRPr="00444EC5">
              <w:rPr>
                <w:rFonts w:ascii="Times New Roman" w:hAnsi="Times New Roman"/>
              </w:rPr>
              <w:t>Polenergia</w:t>
            </w:r>
            <w:proofErr w:type="spellEnd"/>
            <w:r w:rsidRPr="00444EC5">
              <w:rPr>
                <w:rFonts w:ascii="Times New Roman" w:hAnsi="Times New Roman"/>
              </w:rPr>
              <w:t xml:space="preserve"> Dystrybucja Sp. z o.o.;</w:t>
            </w:r>
          </w:p>
          <w:p w14:paraId="69C2B9AA"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Client Earth;</w:t>
            </w:r>
          </w:p>
          <w:p w14:paraId="6E599C4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 xml:space="preserve">Fundacją </w:t>
            </w:r>
            <w:proofErr w:type="spellStart"/>
            <w:r w:rsidRPr="00A24DB6">
              <w:rPr>
                <w:rFonts w:ascii="Times New Roman" w:hAnsi="Times New Roman"/>
              </w:rPr>
              <w:t>Greenpeace</w:t>
            </w:r>
            <w:proofErr w:type="spellEnd"/>
            <w:r w:rsidRPr="00A24DB6">
              <w:rPr>
                <w:rFonts w:ascii="Times New Roman" w:hAnsi="Times New Roman"/>
              </w:rPr>
              <w:t xml:space="preserve"> Polska;</w:t>
            </w:r>
          </w:p>
          <w:p w14:paraId="7ECE253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Fundacja na rzecz Energetyki Zrównoważonej;</w:t>
            </w:r>
          </w:p>
          <w:p w14:paraId="45778B5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Fundacją WWF Polska;</w:t>
            </w:r>
          </w:p>
          <w:p w14:paraId="1628B3D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 xml:space="preserve">Inicjatywa dla Środowiska, Energii i </w:t>
            </w:r>
            <w:proofErr w:type="spellStart"/>
            <w:r w:rsidRPr="00A24DB6">
              <w:rPr>
                <w:rFonts w:ascii="Times New Roman" w:hAnsi="Times New Roman"/>
              </w:rPr>
              <w:t>Elektromobilności</w:t>
            </w:r>
            <w:proofErr w:type="spellEnd"/>
            <w:r w:rsidRPr="00A24DB6">
              <w:rPr>
                <w:rFonts w:ascii="Times New Roman" w:hAnsi="Times New Roman"/>
              </w:rPr>
              <w:t>;</w:t>
            </w:r>
          </w:p>
          <w:p w14:paraId="3288EE6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Instytut Energetyki Odnawialnej;</w:t>
            </w:r>
          </w:p>
          <w:p w14:paraId="4A2F3D23"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Instytut na Rzecz Ekorozwoju;</w:t>
            </w:r>
          </w:p>
          <w:p w14:paraId="11493F6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Energetyki Przemysłowej i Odbiorców Energii;</w:t>
            </w:r>
          </w:p>
          <w:p w14:paraId="42115A0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Gospodarcza Ciepłownictwo Polskie;</w:t>
            </w:r>
          </w:p>
          <w:p w14:paraId="2EB6DC8A" w14:textId="17FED86A" w:rsidR="008B2187" w:rsidRDefault="008B2187" w:rsidP="008B2187">
            <w:pPr>
              <w:numPr>
                <w:ilvl w:val="0"/>
                <w:numId w:val="72"/>
              </w:numPr>
              <w:jc w:val="both"/>
              <w:rPr>
                <w:rFonts w:ascii="Times New Roman" w:hAnsi="Times New Roman"/>
              </w:rPr>
            </w:pPr>
            <w:r w:rsidRPr="00A24DB6">
              <w:rPr>
                <w:rFonts w:ascii="Times New Roman" w:hAnsi="Times New Roman"/>
              </w:rPr>
              <w:t>Izba Gospodarcza Energetyki i Ochrony Środowiska;</w:t>
            </w:r>
          </w:p>
          <w:p w14:paraId="26C126B6" w14:textId="49E39F27" w:rsidR="002053AD" w:rsidRPr="00A24DB6" w:rsidRDefault="002053AD" w:rsidP="008B2187">
            <w:pPr>
              <w:numPr>
                <w:ilvl w:val="0"/>
                <w:numId w:val="72"/>
              </w:numPr>
              <w:jc w:val="both"/>
              <w:rPr>
                <w:rFonts w:ascii="Times New Roman" w:hAnsi="Times New Roman"/>
              </w:rPr>
            </w:pPr>
            <w:r w:rsidRPr="002053AD">
              <w:rPr>
                <w:rFonts w:ascii="Times New Roman" w:hAnsi="Times New Roman"/>
              </w:rPr>
              <w:t>Izb</w:t>
            </w:r>
            <w:r>
              <w:rPr>
                <w:rFonts w:ascii="Times New Roman" w:hAnsi="Times New Roman"/>
              </w:rPr>
              <w:t>a</w:t>
            </w:r>
            <w:r w:rsidRPr="002053AD">
              <w:rPr>
                <w:rFonts w:ascii="Times New Roman" w:hAnsi="Times New Roman"/>
              </w:rPr>
              <w:t xml:space="preserve"> Gospodarcz</w:t>
            </w:r>
            <w:r>
              <w:rPr>
                <w:rFonts w:ascii="Times New Roman" w:hAnsi="Times New Roman"/>
              </w:rPr>
              <w:t>a</w:t>
            </w:r>
            <w:r w:rsidRPr="002053AD">
              <w:rPr>
                <w:rFonts w:ascii="Times New Roman" w:hAnsi="Times New Roman"/>
              </w:rPr>
              <w:t xml:space="preserve"> Gazownictwa</w:t>
            </w:r>
          </w:p>
          <w:p w14:paraId="38375D7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Izba Gospodarcza Wodociągi Polskie;</w:t>
            </w:r>
          </w:p>
          <w:p w14:paraId="3F0A8FED" w14:textId="77777777" w:rsidR="008B2187" w:rsidRPr="00A24DB6" w:rsidRDefault="008B2187" w:rsidP="008B2187">
            <w:pPr>
              <w:numPr>
                <w:ilvl w:val="0"/>
                <w:numId w:val="72"/>
              </w:numPr>
              <w:jc w:val="both"/>
              <w:rPr>
                <w:rFonts w:ascii="Times New Roman" w:hAnsi="Times New Roman"/>
              </w:rPr>
            </w:pPr>
            <w:r w:rsidRPr="00C03435">
              <w:rPr>
                <w:rFonts w:ascii="Times New Roman" w:hAnsi="Times New Roman"/>
              </w:rPr>
              <w:t>Izba Projektowania Budowlanego</w:t>
            </w:r>
            <w:r>
              <w:rPr>
                <w:rFonts w:ascii="Times New Roman" w:hAnsi="Times New Roman"/>
              </w:rPr>
              <w:t>;</w:t>
            </w:r>
          </w:p>
          <w:p w14:paraId="1340592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Krajowa Izba Gospodarcza;</w:t>
            </w:r>
          </w:p>
          <w:p w14:paraId="26AA0AA3" w14:textId="77777777" w:rsidR="008B2187" w:rsidRPr="00C03435" w:rsidRDefault="008B2187" w:rsidP="008B2187">
            <w:pPr>
              <w:numPr>
                <w:ilvl w:val="0"/>
                <w:numId w:val="72"/>
              </w:numPr>
              <w:jc w:val="both"/>
              <w:rPr>
                <w:rFonts w:ascii="Times New Roman" w:hAnsi="Times New Roman"/>
              </w:rPr>
            </w:pPr>
            <w:r w:rsidRPr="00C03435">
              <w:rPr>
                <w:rFonts w:ascii="Times New Roman" w:hAnsi="Times New Roman"/>
              </w:rPr>
              <w:t>Krajowa Izba Gospodarki Nieruchomościami</w:t>
            </w:r>
            <w:r>
              <w:rPr>
                <w:rFonts w:ascii="Times New Roman" w:hAnsi="Times New Roman"/>
              </w:rPr>
              <w:t>;</w:t>
            </w:r>
          </w:p>
          <w:p w14:paraId="6466C948"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Geotermalna Asocjacja;</w:t>
            </w:r>
          </w:p>
          <w:p w14:paraId="5644C69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Biomasy;</w:t>
            </w:r>
          </w:p>
          <w:p w14:paraId="27837D3A"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Gospodarcza Energii Odnawialnej i Rozproszonej;</w:t>
            </w:r>
          </w:p>
          <w:p w14:paraId="7A67E2E6"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Izba Gospodarcza Przemysłu Drzewnego;</w:t>
            </w:r>
          </w:p>
          <w:p w14:paraId="7E7880A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Polska Organizacja Rozwoju Technologii Pomp Ciepła;</w:t>
            </w:r>
          </w:p>
          <w:p w14:paraId="6FED2EB5" w14:textId="37CEE779" w:rsidR="008B2187" w:rsidRDefault="008B2187" w:rsidP="008B2187">
            <w:pPr>
              <w:numPr>
                <w:ilvl w:val="0"/>
                <w:numId w:val="72"/>
              </w:numPr>
              <w:jc w:val="both"/>
              <w:rPr>
                <w:rFonts w:ascii="Times New Roman" w:hAnsi="Times New Roman"/>
              </w:rPr>
            </w:pPr>
            <w:r w:rsidRPr="00A24DB6">
              <w:rPr>
                <w:rFonts w:ascii="Times New Roman" w:hAnsi="Times New Roman"/>
              </w:rPr>
              <w:t>Polski Komitet Energii Elektrycznej;</w:t>
            </w:r>
          </w:p>
          <w:p w14:paraId="1792DA10" w14:textId="2BA0ED18" w:rsidR="00467D13" w:rsidRDefault="00467D13" w:rsidP="008B2187">
            <w:pPr>
              <w:numPr>
                <w:ilvl w:val="0"/>
                <w:numId w:val="72"/>
              </w:numPr>
              <w:jc w:val="both"/>
              <w:rPr>
                <w:rFonts w:ascii="Times New Roman" w:hAnsi="Times New Roman"/>
              </w:rPr>
            </w:pPr>
            <w:r>
              <w:rPr>
                <w:rFonts w:ascii="Times New Roman" w:hAnsi="Times New Roman"/>
              </w:rPr>
              <w:t>Polskie Centrum Akredytacji</w:t>
            </w:r>
            <w:r w:rsidR="00086B33">
              <w:rPr>
                <w:rFonts w:ascii="Times New Roman" w:hAnsi="Times New Roman"/>
              </w:rPr>
              <w:t>;</w:t>
            </w:r>
          </w:p>
          <w:p w14:paraId="7D4A4D86" w14:textId="6EFE71BA" w:rsidR="00E866E7" w:rsidRPr="00A24DB6" w:rsidRDefault="00E866E7" w:rsidP="008B2187">
            <w:pPr>
              <w:numPr>
                <w:ilvl w:val="0"/>
                <w:numId w:val="72"/>
              </w:numPr>
              <w:jc w:val="both"/>
              <w:rPr>
                <w:rFonts w:ascii="Times New Roman" w:hAnsi="Times New Roman"/>
              </w:rPr>
            </w:pPr>
            <w:r>
              <w:rPr>
                <w:rFonts w:ascii="Times New Roman" w:hAnsi="Times New Roman"/>
              </w:rPr>
              <w:t>Polskie Sieci Elektroenergetyczne S.A.;</w:t>
            </w:r>
          </w:p>
          <w:p w14:paraId="7925C91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Biogazu;</w:t>
            </w:r>
          </w:p>
          <w:p w14:paraId="399F7FF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Energetyki Słonecznej;</w:t>
            </w:r>
          </w:p>
          <w:p w14:paraId="36FE25F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Energetyki Wiatrowej;</w:t>
            </w:r>
          </w:p>
          <w:p w14:paraId="4F043845"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 xml:space="preserve">Polskie Stowarzyszenie </w:t>
            </w:r>
            <w:proofErr w:type="spellStart"/>
            <w:r w:rsidRPr="00A24DB6">
              <w:rPr>
                <w:rFonts w:ascii="Times New Roman" w:hAnsi="Times New Roman"/>
              </w:rPr>
              <w:t>Fotowoltaiki</w:t>
            </w:r>
            <w:proofErr w:type="spellEnd"/>
            <w:r w:rsidRPr="00A24DB6">
              <w:rPr>
                <w:rFonts w:ascii="Times New Roman" w:hAnsi="Times New Roman"/>
              </w:rPr>
              <w:t>;</w:t>
            </w:r>
          </w:p>
          <w:p w14:paraId="6FEF955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Geotermiczne;</w:t>
            </w:r>
          </w:p>
          <w:p w14:paraId="5541287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Pomp Ciepła;</w:t>
            </w:r>
          </w:p>
          <w:p w14:paraId="3FBAFCE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Stowarzyszenie Producentów Biogazu Rolniczego;</w:t>
            </w:r>
          </w:p>
          <w:p w14:paraId="038429CB"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Elektrociepłowni Zawodowych;</w:t>
            </w:r>
          </w:p>
          <w:p w14:paraId="0044135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Energetyki Słonecznej PTES-ISES;</w:t>
            </w:r>
          </w:p>
          <w:p w14:paraId="4EA7764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 xml:space="preserve">Polskie Towarzystwo </w:t>
            </w:r>
            <w:proofErr w:type="spellStart"/>
            <w:r w:rsidRPr="00A24DB6">
              <w:rPr>
                <w:rFonts w:ascii="Times New Roman" w:hAnsi="Times New Roman"/>
              </w:rPr>
              <w:t>Fotowoltaiki</w:t>
            </w:r>
            <w:proofErr w:type="spellEnd"/>
            <w:r w:rsidRPr="00A24DB6">
              <w:rPr>
                <w:rFonts w:ascii="Times New Roman" w:hAnsi="Times New Roman"/>
              </w:rPr>
              <w:t>;</w:t>
            </w:r>
          </w:p>
          <w:p w14:paraId="0970808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Polskie Towarzystwo Morskiej Energetyki Wiatrowej;</w:t>
            </w:r>
          </w:p>
          <w:p w14:paraId="3C00300F"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 xml:space="preserve">Polskie Towarzystwo </w:t>
            </w:r>
            <w:proofErr w:type="spellStart"/>
            <w:r w:rsidRPr="00A24DB6">
              <w:rPr>
                <w:rFonts w:ascii="Times New Roman" w:hAnsi="Times New Roman"/>
              </w:rPr>
              <w:t>Przesyłu</w:t>
            </w:r>
            <w:proofErr w:type="spellEnd"/>
            <w:r w:rsidRPr="00A24DB6">
              <w:rPr>
                <w:rFonts w:ascii="Times New Roman" w:hAnsi="Times New Roman"/>
              </w:rPr>
              <w:t xml:space="preserve"> i Rozdziału Energii Elektrycznej (</w:t>
            </w:r>
            <w:proofErr w:type="spellStart"/>
            <w:r w:rsidRPr="00A24DB6">
              <w:rPr>
                <w:rFonts w:ascii="Times New Roman" w:hAnsi="Times New Roman"/>
              </w:rPr>
              <w:t>PTPiREE</w:t>
            </w:r>
            <w:proofErr w:type="spellEnd"/>
            <w:r w:rsidRPr="00A24DB6">
              <w:rPr>
                <w:rFonts w:ascii="Times New Roman" w:hAnsi="Times New Roman"/>
              </w:rPr>
              <w:t>);</w:t>
            </w:r>
          </w:p>
          <w:p w14:paraId="6E4087F0"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Branży Fotowoltaicznej – Polska PV;</w:t>
            </w:r>
          </w:p>
          <w:p w14:paraId="3CABEFE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Energii Odnawialnej;</w:t>
            </w:r>
          </w:p>
          <w:p w14:paraId="2B1E87F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Forum Rozwoju Efektywnej Energii;</w:t>
            </w:r>
            <w:r>
              <w:rPr>
                <w:rFonts w:ascii="Times New Roman" w:hAnsi="Times New Roman"/>
              </w:rPr>
              <w:t xml:space="preserve"> </w:t>
            </w:r>
          </w:p>
          <w:p w14:paraId="4D521665"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Małej Energetyki Wiatrowej;</w:t>
            </w:r>
          </w:p>
          <w:p w14:paraId="61320578"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Papierników Polskich;</w:t>
            </w:r>
          </w:p>
          <w:p w14:paraId="5708B232" w14:textId="77777777" w:rsidR="008B2187" w:rsidRPr="00A24DB6" w:rsidRDefault="008B2187" w:rsidP="008B2187">
            <w:pPr>
              <w:numPr>
                <w:ilvl w:val="0"/>
                <w:numId w:val="72"/>
              </w:numPr>
              <w:jc w:val="both"/>
              <w:rPr>
                <w:rFonts w:ascii="Times New Roman" w:hAnsi="Times New Roman"/>
              </w:rPr>
            </w:pPr>
            <w:r w:rsidRPr="00C03435">
              <w:rPr>
                <w:rFonts w:ascii="Times New Roman" w:hAnsi="Times New Roman"/>
              </w:rPr>
              <w:t>Stowarzyszenie Polska Izba Urbanistów</w:t>
            </w:r>
            <w:r>
              <w:rPr>
                <w:rFonts w:ascii="Times New Roman" w:hAnsi="Times New Roman"/>
              </w:rPr>
              <w:t>;</w:t>
            </w:r>
          </w:p>
          <w:p w14:paraId="03A90DB2"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Producentów Energii z Odpadów;</w:t>
            </w:r>
          </w:p>
          <w:p w14:paraId="077F1DDD"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Stowarzyszenie Producentów i Importerów Urządzeń Grzewczych;</w:t>
            </w:r>
          </w:p>
          <w:p w14:paraId="32A9639B" w14:textId="328EE71E" w:rsidR="008B2187" w:rsidRDefault="008B2187" w:rsidP="008B2187">
            <w:pPr>
              <w:numPr>
                <w:ilvl w:val="0"/>
                <w:numId w:val="72"/>
              </w:numPr>
              <w:jc w:val="both"/>
              <w:rPr>
                <w:rFonts w:ascii="Times New Roman" w:hAnsi="Times New Roman"/>
              </w:rPr>
            </w:pPr>
            <w:r w:rsidRPr="00593BBE">
              <w:rPr>
                <w:rFonts w:ascii="Times New Roman" w:hAnsi="Times New Roman"/>
              </w:rPr>
              <w:t>Stowarzyszenie Urbanistów ZOIU</w:t>
            </w:r>
            <w:r>
              <w:rPr>
                <w:rFonts w:ascii="Times New Roman" w:hAnsi="Times New Roman"/>
              </w:rPr>
              <w:t>;</w:t>
            </w:r>
          </w:p>
          <w:p w14:paraId="2F453461" w14:textId="433E2B6D" w:rsidR="00467D13" w:rsidRPr="00C83906" w:rsidRDefault="00467D13" w:rsidP="008B2187">
            <w:pPr>
              <w:numPr>
                <w:ilvl w:val="0"/>
                <w:numId w:val="72"/>
              </w:numPr>
              <w:jc w:val="both"/>
              <w:rPr>
                <w:rFonts w:ascii="Times New Roman" w:hAnsi="Times New Roman"/>
              </w:rPr>
            </w:pPr>
            <w:r>
              <w:rPr>
                <w:rFonts w:ascii="Times New Roman" w:hAnsi="Times New Roman"/>
              </w:rPr>
              <w:lastRenderedPageBreak/>
              <w:t>Towarowa Giełda Energii S.A.</w:t>
            </w:r>
            <w:r w:rsidR="00086B33">
              <w:rPr>
                <w:rFonts w:ascii="Times New Roman" w:hAnsi="Times New Roman"/>
              </w:rPr>
              <w:t>;</w:t>
            </w:r>
          </w:p>
          <w:p w14:paraId="275EED41"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Elektrowni Wodnych;</w:t>
            </w:r>
          </w:p>
          <w:p w14:paraId="7FC09613"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Gospodarcze Polskie Elektrownie;</w:t>
            </w:r>
          </w:p>
          <w:p w14:paraId="1A4A5156"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Obrotu Energią (TOE);</w:t>
            </w:r>
          </w:p>
          <w:p w14:paraId="301F2297"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Towarzystwo Rozwoju Małych Elektrowni Wodnych;</w:t>
            </w:r>
          </w:p>
          <w:p w14:paraId="357EC63C" w14:textId="77777777" w:rsidR="008B2187" w:rsidRPr="00A24DB6" w:rsidRDefault="008B2187" w:rsidP="008B2187">
            <w:pPr>
              <w:numPr>
                <w:ilvl w:val="0"/>
                <w:numId w:val="72"/>
              </w:numPr>
              <w:jc w:val="both"/>
              <w:rPr>
                <w:rFonts w:ascii="Times New Roman" w:hAnsi="Times New Roman"/>
              </w:rPr>
            </w:pPr>
            <w:r w:rsidRPr="00A24DB6">
              <w:rPr>
                <w:rFonts w:ascii="Times New Roman" w:hAnsi="Times New Roman"/>
              </w:rPr>
              <w:t>Unia Producentów i Pracodawców Przemysłu Biogazowego;</w:t>
            </w:r>
          </w:p>
          <w:p w14:paraId="5B87BB4B" w14:textId="30073D31" w:rsidR="008B2187" w:rsidRPr="00307B2B" w:rsidRDefault="008B2187" w:rsidP="0079462C">
            <w:pPr>
              <w:numPr>
                <w:ilvl w:val="0"/>
                <w:numId w:val="72"/>
              </w:numPr>
              <w:jc w:val="both"/>
              <w:rPr>
                <w:rFonts w:ascii="Times New Roman" w:hAnsi="Times New Roman"/>
              </w:rPr>
            </w:pPr>
            <w:r w:rsidRPr="00307B2B">
              <w:rPr>
                <w:rFonts w:ascii="Times New Roman" w:hAnsi="Times New Roman"/>
              </w:rPr>
              <w:t>Związek Banków Polskich</w:t>
            </w:r>
            <w:r w:rsidR="002B19B4">
              <w:rPr>
                <w:rFonts w:ascii="Times New Roman" w:hAnsi="Times New Roman"/>
              </w:rPr>
              <w:t>;</w:t>
            </w:r>
          </w:p>
          <w:p w14:paraId="0CBCABB9" w14:textId="61CB4E97" w:rsidR="008B2187" w:rsidRDefault="008B2187" w:rsidP="008B2187">
            <w:pPr>
              <w:pStyle w:val="Akapitzlist"/>
              <w:numPr>
                <w:ilvl w:val="0"/>
                <w:numId w:val="72"/>
              </w:numPr>
              <w:spacing w:after="120" w:line="240" w:lineRule="auto"/>
              <w:jc w:val="both"/>
              <w:rPr>
                <w:rFonts w:ascii="Times New Roman" w:eastAsia="Times New Roman" w:hAnsi="Times New Roman"/>
                <w:color w:val="000000"/>
                <w:lang w:eastAsia="pl-PL"/>
              </w:rPr>
            </w:pPr>
            <w:r w:rsidRPr="00D34F3C">
              <w:rPr>
                <w:rFonts w:ascii="Times New Roman" w:eastAsia="Times New Roman" w:hAnsi="Times New Roman"/>
                <w:color w:val="000000"/>
                <w:lang w:eastAsia="pl-PL"/>
              </w:rPr>
              <w:t>Związek Gmin Wiejskich Rzeczypospolitej Polskiej</w:t>
            </w:r>
            <w:r w:rsidR="002B19B4">
              <w:rPr>
                <w:rFonts w:ascii="Times New Roman" w:eastAsia="Times New Roman" w:hAnsi="Times New Roman"/>
                <w:color w:val="000000"/>
                <w:lang w:eastAsia="pl-PL"/>
              </w:rPr>
              <w:t>;</w:t>
            </w:r>
          </w:p>
          <w:p w14:paraId="3B8B1A98"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Baltic</w:t>
            </w:r>
            <w:proofErr w:type="spellEnd"/>
            <w:r w:rsidRPr="00FF393D">
              <w:rPr>
                <w:rFonts w:ascii="Times New Roman" w:eastAsia="Times New Roman" w:hAnsi="Times New Roman"/>
                <w:color w:val="000000"/>
                <w:lang w:eastAsia="pl-PL"/>
              </w:rPr>
              <w:t xml:space="preserve"> Power;</w:t>
            </w:r>
          </w:p>
          <w:p w14:paraId="62881E85"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Baltic</w:t>
            </w:r>
            <w:proofErr w:type="spellEnd"/>
            <w:r w:rsidRPr="00FF393D">
              <w:rPr>
                <w:rFonts w:ascii="Times New Roman" w:eastAsia="Times New Roman" w:hAnsi="Times New Roman"/>
                <w:color w:val="000000"/>
                <w:lang w:eastAsia="pl-PL"/>
              </w:rPr>
              <w:t xml:space="preserve"> Trade and Invest;</w:t>
            </w:r>
          </w:p>
          <w:p w14:paraId="1B07C456"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Equinor</w:t>
            </w:r>
            <w:proofErr w:type="spellEnd"/>
            <w:r w:rsidRPr="00FF393D">
              <w:rPr>
                <w:rFonts w:ascii="Times New Roman" w:eastAsia="Times New Roman" w:hAnsi="Times New Roman"/>
                <w:color w:val="000000"/>
                <w:lang w:eastAsia="pl-PL"/>
              </w:rPr>
              <w:t>;</w:t>
            </w:r>
          </w:p>
          <w:p w14:paraId="1403DFED"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Northland</w:t>
            </w:r>
            <w:proofErr w:type="spellEnd"/>
            <w:r w:rsidRPr="00FF393D">
              <w:rPr>
                <w:rFonts w:ascii="Times New Roman" w:eastAsia="Times New Roman" w:hAnsi="Times New Roman"/>
                <w:color w:val="000000"/>
                <w:lang w:eastAsia="pl-PL"/>
              </w:rPr>
              <w:t xml:space="preserve"> Power;</w:t>
            </w:r>
          </w:p>
          <w:p w14:paraId="73B241EA"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 xml:space="preserve">Ocean </w:t>
            </w:r>
            <w:proofErr w:type="spellStart"/>
            <w:r w:rsidRPr="00FF393D">
              <w:rPr>
                <w:rFonts w:ascii="Times New Roman" w:eastAsia="Times New Roman" w:hAnsi="Times New Roman"/>
                <w:color w:val="000000"/>
                <w:lang w:eastAsia="pl-PL"/>
              </w:rPr>
              <w:t>Winds</w:t>
            </w:r>
            <w:proofErr w:type="spellEnd"/>
            <w:r w:rsidRPr="00FF393D">
              <w:rPr>
                <w:rFonts w:ascii="Times New Roman" w:eastAsia="Times New Roman" w:hAnsi="Times New Roman"/>
                <w:color w:val="000000"/>
                <w:lang w:eastAsia="pl-PL"/>
              </w:rPr>
              <w:t>;</w:t>
            </w:r>
          </w:p>
          <w:p w14:paraId="18979E67"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Ørsted</w:t>
            </w:r>
            <w:proofErr w:type="spellEnd"/>
            <w:r w:rsidRPr="00FF393D">
              <w:rPr>
                <w:rFonts w:ascii="Times New Roman" w:eastAsia="Times New Roman" w:hAnsi="Times New Roman"/>
                <w:color w:val="000000"/>
                <w:lang w:eastAsia="pl-PL"/>
              </w:rPr>
              <w:t>;</w:t>
            </w:r>
          </w:p>
          <w:p w14:paraId="0BA49A95"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 xml:space="preserve">PGE </w:t>
            </w:r>
            <w:proofErr w:type="spellStart"/>
            <w:r w:rsidRPr="00FF393D">
              <w:rPr>
                <w:rFonts w:ascii="Times New Roman" w:eastAsia="Times New Roman" w:hAnsi="Times New Roman"/>
                <w:color w:val="000000"/>
                <w:lang w:eastAsia="pl-PL"/>
              </w:rPr>
              <w:t>Baltica</w:t>
            </w:r>
            <w:proofErr w:type="spellEnd"/>
            <w:r w:rsidRPr="00FF393D">
              <w:rPr>
                <w:rFonts w:ascii="Times New Roman" w:eastAsia="Times New Roman" w:hAnsi="Times New Roman"/>
                <w:color w:val="000000"/>
                <w:lang w:eastAsia="pl-PL"/>
              </w:rPr>
              <w:t>;</w:t>
            </w:r>
          </w:p>
          <w:p w14:paraId="44CAEC58"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Polenergia</w:t>
            </w:r>
            <w:proofErr w:type="spellEnd"/>
            <w:r w:rsidRPr="00FF393D">
              <w:rPr>
                <w:rFonts w:ascii="Times New Roman" w:eastAsia="Times New Roman" w:hAnsi="Times New Roman"/>
                <w:color w:val="000000"/>
                <w:lang w:eastAsia="pl-PL"/>
              </w:rPr>
              <w:t>;</w:t>
            </w:r>
          </w:p>
          <w:p w14:paraId="7822BFBC"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RWE;</w:t>
            </w:r>
          </w:p>
          <w:p w14:paraId="68228AED" w14:textId="77777777" w:rsidR="00FF393D" w:rsidRPr="00FF393D" w:rsidRDefault="00FF393D" w:rsidP="00FF393D">
            <w:pPr>
              <w:pStyle w:val="Akapitzlist"/>
              <w:numPr>
                <w:ilvl w:val="0"/>
                <w:numId w:val="72"/>
              </w:numPr>
              <w:spacing w:after="120" w:line="240" w:lineRule="auto"/>
              <w:jc w:val="both"/>
              <w:rPr>
                <w:rFonts w:ascii="Times New Roman" w:eastAsia="Times New Roman" w:hAnsi="Times New Roman"/>
                <w:color w:val="000000"/>
                <w:lang w:eastAsia="pl-PL"/>
              </w:rPr>
            </w:pPr>
            <w:r w:rsidRPr="00FF393D">
              <w:rPr>
                <w:rFonts w:ascii="Times New Roman" w:eastAsia="Times New Roman" w:hAnsi="Times New Roman"/>
                <w:color w:val="000000"/>
                <w:lang w:eastAsia="pl-PL"/>
              </w:rPr>
              <w:t>Sea Wind;</w:t>
            </w:r>
          </w:p>
          <w:p w14:paraId="2E2B40F9" w14:textId="33D6DE0E" w:rsidR="00FF393D" w:rsidRPr="006E6366" w:rsidRDefault="00FF393D" w:rsidP="00DB6A82">
            <w:pPr>
              <w:pStyle w:val="Akapitzlist"/>
              <w:numPr>
                <w:ilvl w:val="0"/>
                <w:numId w:val="72"/>
              </w:numPr>
              <w:spacing w:after="120" w:line="240" w:lineRule="auto"/>
              <w:jc w:val="both"/>
              <w:rPr>
                <w:rFonts w:ascii="Times New Roman" w:eastAsia="Times New Roman" w:hAnsi="Times New Roman"/>
                <w:color w:val="000000"/>
                <w:lang w:eastAsia="pl-PL"/>
              </w:rPr>
            </w:pPr>
            <w:proofErr w:type="spellStart"/>
            <w:r w:rsidRPr="00FF393D">
              <w:rPr>
                <w:rFonts w:ascii="Times New Roman" w:eastAsia="Times New Roman" w:hAnsi="Times New Roman"/>
                <w:color w:val="000000"/>
                <w:lang w:eastAsia="pl-PL"/>
              </w:rPr>
              <w:t>Synthos</w:t>
            </w:r>
            <w:proofErr w:type="spellEnd"/>
            <w:r w:rsidRPr="00FF393D">
              <w:rPr>
                <w:rFonts w:ascii="Times New Roman" w:eastAsia="Times New Roman" w:hAnsi="Times New Roman"/>
                <w:color w:val="000000"/>
                <w:lang w:eastAsia="pl-PL"/>
              </w:rPr>
              <w:t xml:space="preserve"> Green Energy</w:t>
            </w:r>
            <w:r w:rsidR="0079462C">
              <w:rPr>
                <w:rFonts w:ascii="Times New Roman" w:eastAsia="Times New Roman" w:hAnsi="Times New Roman"/>
                <w:color w:val="000000"/>
                <w:lang w:eastAsia="pl-PL"/>
              </w:rPr>
              <w:t>.</w:t>
            </w:r>
          </w:p>
          <w:p w14:paraId="5E7A5C34" w14:textId="77777777" w:rsidR="008B2187" w:rsidRPr="00687093" w:rsidRDefault="008B2187" w:rsidP="008B2187">
            <w:pPr>
              <w:spacing w:line="240" w:lineRule="auto"/>
              <w:jc w:val="both"/>
              <w:rPr>
                <w:rFonts w:ascii="Times New Roman" w:hAnsi="Times New Roman"/>
              </w:rPr>
            </w:pPr>
            <w:r w:rsidRPr="00687093">
              <w:rPr>
                <w:rFonts w:ascii="Times New Roman" w:hAnsi="Times New Roman"/>
              </w:rPr>
              <w:t>Projekt zostanie przekazany do zaopiniowania (21 dni) następującym podmiotom:</w:t>
            </w:r>
          </w:p>
          <w:p w14:paraId="7CD79C74" w14:textId="20A648B4"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Krajowy Ośrodek Wsparcia Rolnictwa</w:t>
            </w:r>
            <w:r w:rsidR="0038470F">
              <w:rPr>
                <w:rFonts w:ascii="Times New Roman" w:hAnsi="Times New Roman"/>
              </w:rPr>
              <w:t>;</w:t>
            </w:r>
          </w:p>
          <w:p w14:paraId="0FB296B6" w14:textId="263FE773"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Prokuratoria Generalna Rzeczypospolitej Polskiej</w:t>
            </w:r>
            <w:r w:rsidR="0038470F">
              <w:rPr>
                <w:rFonts w:ascii="Times New Roman" w:hAnsi="Times New Roman"/>
              </w:rPr>
              <w:t>;</w:t>
            </w:r>
          </w:p>
          <w:p w14:paraId="40F58CCD" w14:textId="378E7031"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 xml:space="preserve">Rzecznik Małych i Średnich </w:t>
            </w:r>
            <w:r w:rsidR="00C02CBD" w:rsidRPr="00687093">
              <w:rPr>
                <w:rFonts w:ascii="Times New Roman" w:hAnsi="Times New Roman"/>
              </w:rPr>
              <w:t>Przedsiębior</w:t>
            </w:r>
            <w:r w:rsidR="00C02CBD">
              <w:rPr>
                <w:rFonts w:ascii="Times New Roman" w:hAnsi="Times New Roman"/>
              </w:rPr>
              <w:t>ców</w:t>
            </w:r>
            <w:r w:rsidR="0038470F">
              <w:rPr>
                <w:rFonts w:ascii="Times New Roman" w:hAnsi="Times New Roman"/>
              </w:rPr>
              <w:t>;</w:t>
            </w:r>
          </w:p>
          <w:p w14:paraId="6CF8E4A9" w14:textId="79F32A0F"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Urząd Ochrony Konkurencji i Konsumentów</w:t>
            </w:r>
            <w:r w:rsidR="0038470F">
              <w:rPr>
                <w:rFonts w:ascii="Times New Roman" w:hAnsi="Times New Roman"/>
              </w:rPr>
              <w:t>;</w:t>
            </w:r>
          </w:p>
          <w:p w14:paraId="6C053F83" w14:textId="00A1864D" w:rsidR="008B2187" w:rsidRPr="00687093" w:rsidRDefault="008B2187" w:rsidP="008B2187">
            <w:pPr>
              <w:pStyle w:val="Akapitzlist"/>
              <w:numPr>
                <w:ilvl w:val="0"/>
                <w:numId w:val="142"/>
              </w:numPr>
              <w:spacing w:line="240" w:lineRule="auto"/>
              <w:rPr>
                <w:rFonts w:ascii="Times New Roman" w:hAnsi="Times New Roman"/>
              </w:rPr>
            </w:pPr>
            <w:r w:rsidRPr="00687093">
              <w:rPr>
                <w:rFonts w:ascii="Times New Roman" w:hAnsi="Times New Roman"/>
              </w:rPr>
              <w:t>Urząd Regulacji Energetyki</w:t>
            </w:r>
            <w:r w:rsidR="0038470F">
              <w:rPr>
                <w:rFonts w:ascii="Times New Roman" w:hAnsi="Times New Roman"/>
              </w:rPr>
              <w:t>;</w:t>
            </w:r>
          </w:p>
          <w:p w14:paraId="43E3BC72" w14:textId="4FA9ED65" w:rsidR="008B2187" w:rsidRPr="00687093" w:rsidRDefault="008B2187" w:rsidP="008B2187">
            <w:pPr>
              <w:pStyle w:val="Akapitzlist"/>
              <w:numPr>
                <w:ilvl w:val="0"/>
                <w:numId w:val="142"/>
              </w:numPr>
              <w:spacing w:after="120" w:line="240" w:lineRule="auto"/>
              <w:rPr>
                <w:rFonts w:ascii="Times New Roman" w:hAnsi="Times New Roman"/>
              </w:rPr>
            </w:pPr>
            <w:r w:rsidRPr="00687093">
              <w:rPr>
                <w:rFonts w:ascii="Times New Roman" w:hAnsi="Times New Roman"/>
              </w:rPr>
              <w:t>Młodzieżowa Rada Klimatyczna</w:t>
            </w:r>
            <w:r w:rsidR="0038470F">
              <w:rPr>
                <w:rFonts w:ascii="Times New Roman" w:hAnsi="Times New Roman"/>
              </w:rPr>
              <w:t>.</w:t>
            </w:r>
          </w:p>
          <w:p w14:paraId="7F5C5688" w14:textId="36F2686F" w:rsidR="008B2187" w:rsidRPr="00687093" w:rsidRDefault="008B2187" w:rsidP="008B2187">
            <w:pPr>
              <w:spacing w:line="240" w:lineRule="auto"/>
              <w:jc w:val="both"/>
              <w:rPr>
                <w:rFonts w:ascii="Times New Roman" w:hAnsi="Times New Roman"/>
                <w:color w:val="000000"/>
                <w:spacing w:val="-2"/>
              </w:rPr>
            </w:pPr>
            <w:r w:rsidRPr="00687093">
              <w:rPr>
                <w:rFonts w:ascii="Times New Roman" w:hAnsi="Times New Roman"/>
                <w:color w:val="000000"/>
                <w:spacing w:val="-2"/>
              </w:rPr>
              <w:t xml:space="preserve">Z uwagi na zakres projektu, który dotyczy praw i interesów związków pracodawców, projekt podlega opiniowaniu przez reprezentatywne organizacje pracodawców. </w:t>
            </w:r>
            <w:r w:rsidRPr="00687093">
              <w:rPr>
                <w:rFonts w:ascii="Times New Roman" w:hAnsi="Times New Roman"/>
                <w:color w:val="000000"/>
                <w:lang w:eastAsia="pl-PL"/>
              </w:rPr>
              <w:t>Projekt zostanie przekazany (</w:t>
            </w:r>
            <w:r>
              <w:rPr>
                <w:rFonts w:ascii="Times New Roman" w:hAnsi="Times New Roman"/>
                <w:color w:val="000000"/>
                <w:lang w:eastAsia="pl-PL"/>
              </w:rPr>
              <w:t>30</w:t>
            </w:r>
            <w:r w:rsidRPr="00687093">
              <w:rPr>
                <w:rFonts w:ascii="Times New Roman" w:hAnsi="Times New Roman"/>
                <w:color w:val="000000"/>
                <w:lang w:eastAsia="pl-PL"/>
              </w:rPr>
              <w:t xml:space="preserve"> dni) do następujących reprezentatywnych organizacji pracodawców:</w:t>
            </w:r>
          </w:p>
          <w:p w14:paraId="1470956C" w14:textId="45052917"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Pracodawcy RP</w:t>
            </w:r>
            <w:r w:rsidR="0038470F">
              <w:rPr>
                <w:rFonts w:ascii="Times New Roman" w:hAnsi="Times New Roman"/>
              </w:rPr>
              <w:t>;</w:t>
            </w:r>
          </w:p>
          <w:p w14:paraId="3E210702" w14:textId="72061DC9"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 xml:space="preserve">Konfederacja </w:t>
            </w:r>
            <w:r w:rsidR="00BF281C" w:rsidRPr="00BF281C">
              <w:rPr>
                <w:rFonts w:ascii="Times New Roman" w:hAnsi="Times New Roman"/>
              </w:rPr>
              <w:t xml:space="preserve">Pracodawców Prywatnych </w:t>
            </w:r>
            <w:r w:rsidRPr="00687093">
              <w:rPr>
                <w:rFonts w:ascii="Times New Roman" w:hAnsi="Times New Roman"/>
              </w:rPr>
              <w:t>Lewiatan</w:t>
            </w:r>
            <w:r w:rsidR="0038470F">
              <w:rPr>
                <w:rFonts w:ascii="Times New Roman" w:hAnsi="Times New Roman"/>
              </w:rPr>
              <w:t>;</w:t>
            </w:r>
          </w:p>
          <w:p w14:paraId="1416A91A" w14:textId="6FB19E54"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Rzemiosła Polskiego</w:t>
            </w:r>
            <w:r w:rsidR="0038470F">
              <w:rPr>
                <w:rFonts w:ascii="Times New Roman" w:hAnsi="Times New Roman"/>
              </w:rPr>
              <w:t>;</w:t>
            </w:r>
          </w:p>
          <w:p w14:paraId="446207F6" w14:textId="0C13F587" w:rsidR="008B2187" w:rsidRPr="00687093"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Pracodawców Business Centre Club</w:t>
            </w:r>
            <w:r w:rsidR="0038470F">
              <w:rPr>
                <w:rFonts w:ascii="Times New Roman" w:hAnsi="Times New Roman"/>
              </w:rPr>
              <w:t>;</w:t>
            </w:r>
          </w:p>
          <w:p w14:paraId="7FD84713" w14:textId="16FE9BCD" w:rsidR="008B2187" w:rsidRDefault="008B2187" w:rsidP="008B2187">
            <w:pPr>
              <w:pStyle w:val="Akapitzlist"/>
              <w:numPr>
                <w:ilvl w:val="0"/>
                <w:numId w:val="143"/>
              </w:numPr>
              <w:spacing w:line="240" w:lineRule="auto"/>
              <w:jc w:val="both"/>
              <w:rPr>
                <w:rFonts w:ascii="Times New Roman" w:hAnsi="Times New Roman"/>
              </w:rPr>
            </w:pPr>
            <w:r w:rsidRPr="00687093">
              <w:rPr>
                <w:rFonts w:ascii="Times New Roman" w:hAnsi="Times New Roman"/>
              </w:rPr>
              <w:t>Związek Przedsiębiorców i Pracodawców</w:t>
            </w:r>
            <w:r w:rsidR="00160925">
              <w:rPr>
                <w:rFonts w:ascii="Times New Roman" w:hAnsi="Times New Roman"/>
              </w:rPr>
              <w:t>;</w:t>
            </w:r>
          </w:p>
          <w:p w14:paraId="1A679A6D" w14:textId="40ABB5DB" w:rsidR="00D0525E" w:rsidRDefault="00BC5EB6" w:rsidP="008B2187">
            <w:pPr>
              <w:pStyle w:val="Akapitzlist"/>
              <w:numPr>
                <w:ilvl w:val="0"/>
                <w:numId w:val="143"/>
              </w:numPr>
              <w:spacing w:line="240" w:lineRule="auto"/>
              <w:jc w:val="both"/>
              <w:rPr>
                <w:rFonts w:ascii="Times New Roman" w:hAnsi="Times New Roman"/>
              </w:rPr>
            </w:pPr>
            <w:r>
              <w:rPr>
                <w:rFonts w:ascii="Times New Roman" w:hAnsi="Times New Roman"/>
              </w:rPr>
              <w:t>Federacja</w:t>
            </w:r>
            <w:r w:rsidR="00D0525E" w:rsidRPr="00D0525E">
              <w:rPr>
                <w:rFonts w:ascii="Times New Roman" w:hAnsi="Times New Roman"/>
              </w:rPr>
              <w:t xml:space="preserve"> Przedsiębiorców Polskich</w:t>
            </w:r>
            <w:r w:rsidR="00160925">
              <w:rPr>
                <w:rFonts w:ascii="Times New Roman" w:hAnsi="Times New Roman"/>
              </w:rPr>
              <w:t>.</w:t>
            </w:r>
          </w:p>
          <w:p w14:paraId="36D0DE01" w14:textId="77777777" w:rsidR="008B2187" w:rsidRPr="00687093" w:rsidRDefault="008B2187" w:rsidP="008B2187">
            <w:pPr>
              <w:pStyle w:val="Akapitzlist"/>
              <w:spacing w:line="240" w:lineRule="auto"/>
              <w:ind w:left="344"/>
              <w:jc w:val="both"/>
              <w:rPr>
                <w:rFonts w:ascii="Times New Roman" w:hAnsi="Times New Roman"/>
              </w:rPr>
            </w:pPr>
          </w:p>
          <w:p w14:paraId="53B52A19" w14:textId="1E48DDC1" w:rsidR="008B2187" w:rsidRPr="00687093" w:rsidRDefault="008B2187" w:rsidP="008B2187">
            <w:pPr>
              <w:spacing w:after="120" w:line="240" w:lineRule="auto"/>
              <w:jc w:val="both"/>
              <w:rPr>
                <w:rFonts w:ascii="Times New Roman" w:eastAsia="Times New Roman" w:hAnsi="Times New Roman"/>
                <w:bCs/>
                <w:lang w:eastAsia="pl-PL"/>
              </w:rPr>
            </w:pPr>
            <w:r w:rsidRPr="00687093">
              <w:rPr>
                <w:rFonts w:ascii="Times New Roman" w:eastAsia="Times New Roman" w:hAnsi="Times New Roman"/>
                <w:bCs/>
                <w:lang w:eastAsia="pl-PL"/>
              </w:rPr>
              <w:t>Z uwagi na zakres projektu, który nie dotyczy problematyki zadań związków zawodowych, projekt nie będzie podlegał opiniowaniu przez reprezentatywne związki zawodowe.</w:t>
            </w:r>
          </w:p>
          <w:p w14:paraId="6E8FA3A9" w14:textId="77777777" w:rsidR="008B2187" w:rsidRPr="00687093" w:rsidRDefault="008B2187" w:rsidP="008B2187">
            <w:pPr>
              <w:spacing w:after="120" w:line="240" w:lineRule="auto"/>
              <w:jc w:val="both"/>
              <w:rPr>
                <w:rFonts w:ascii="Times New Roman" w:hAnsi="Times New Roman"/>
              </w:rPr>
            </w:pPr>
            <w:r w:rsidRPr="007053D3">
              <w:rPr>
                <w:rFonts w:ascii="Times New Roman" w:eastAsia="Times New Roman" w:hAnsi="Times New Roman"/>
                <w:bCs/>
                <w:lang w:eastAsia="pl-PL"/>
              </w:rPr>
              <w:t>Projekt ustawy</w:t>
            </w:r>
            <w:r w:rsidRPr="007053D3">
              <w:rPr>
                <w:rFonts w:ascii="Times New Roman" w:hAnsi="Times New Roman"/>
              </w:rPr>
              <w:t>, z uwagi na regulacje w zakresie funkcjonowania klastrów energii w szczególności ich terytorialnego zakresu działania, wymaga zaopiniowania przez Komisję Wspólną Rządu i Samorządu Terytorialnego, zgodnie z zakresem spraw,</w:t>
            </w:r>
            <w:r w:rsidRPr="007053D3">
              <w:rPr>
                <w:rFonts w:ascii="Times New Roman" w:eastAsia="Times New Roman" w:hAnsi="Times New Roman"/>
                <w:bCs/>
                <w:lang w:eastAsia="pl-PL"/>
              </w:rPr>
              <w:t xml:space="preserve"> o których mowa w art. 8 ust. 1 </w:t>
            </w:r>
            <w:r w:rsidRPr="00687093">
              <w:rPr>
                <w:rFonts w:ascii="Times New Roman" w:eastAsia="Times New Roman" w:hAnsi="Times New Roman"/>
                <w:bCs/>
                <w:lang w:eastAsia="pl-PL"/>
              </w:rPr>
              <w:t>ustawy z dnia 6 maja 2005 r. o Komisji Wspólnej Rządu i Samorządu Terytorialnego oraz o przedstawicielach Rzeczypospolitej Polskiej w Komitecie Regionów Unii Europejskiej.</w:t>
            </w:r>
            <w:r w:rsidRPr="00687093">
              <w:rPr>
                <w:rFonts w:ascii="Times New Roman" w:hAnsi="Times New Roman"/>
              </w:rPr>
              <w:t xml:space="preserve"> </w:t>
            </w:r>
          </w:p>
          <w:p w14:paraId="73589F7A" w14:textId="0F40F32B" w:rsidR="0038470F" w:rsidRPr="0038470F" w:rsidRDefault="0038470F" w:rsidP="0038470F">
            <w:pPr>
              <w:spacing w:after="120" w:line="240" w:lineRule="auto"/>
              <w:jc w:val="both"/>
              <w:rPr>
                <w:rFonts w:ascii="Times New Roman" w:eastAsia="Times New Roman" w:hAnsi="Times New Roman"/>
                <w:bCs/>
                <w:lang w:eastAsia="pl-PL"/>
              </w:rPr>
            </w:pPr>
            <w:r w:rsidRPr="0038470F">
              <w:rPr>
                <w:rFonts w:ascii="Times New Roman" w:eastAsia="Times New Roman" w:hAnsi="Times New Roman"/>
                <w:bCs/>
                <w:lang w:eastAsia="pl-PL"/>
              </w:rPr>
              <w:t>Projekt nie dotyczy spraw, o których mowa w art. 1 ustawy z dnia 24 lipca 2015 r. o Radzie Dialogu Społecznego i innych instytucji dialogu społecznego, wobec czego nie wymaga zaopiniowania przez RDS.</w:t>
            </w:r>
          </w:p>
          <w:p w14:paraId="5D74E646" w14:textId="7A320234" w:rsidR="008B2187" w:rsidRPr="00687093" w:rsidRDefault="008B2187" w:rsidP="008B2187">
            <w:pPr>
              <w:spacing w:after="120" w:line="240" w:lineRule="auto"/>
              <w:jc w:val="both"/>
              <w:rPr>
                <w:rFonts w:ascii="Times New Roman" w:eastAsia="Times New Roman" w:hAnsi="Times New Roman"/>
                <w:bCs/>
                <w:lang w:eastAsia="pl-PL"/>
              </w:rPr>
            </w:pPr>
            <w:r w:rsidRPr="00687093">
              <w:rPr>
                <w:rFonts w:ascii="Times New Roman" w:eastAsia="Times New Roman" w:hAnsi="Times New Roman"/>
                <w:bCs/>
                <w:lang w:eastAsia="pl-PL"/>
              </w:rPr>
              <w:t>Projektowana regulacja będzie wymagała notyfikacji Komisji Europejskiej w trybie ustawy z dnia 30 kwietnia 2004 r. o</w:t>
            </w:r>
            <w:r>
              <w:rPr>
                <w:rFonts w:ascii="Times New Roman" w:eastAsia="Times New Roman" w:hAnsi="Times New Roman"/>
                <w:bCs/>
                <w:lang w:eastAsia="pl-PL"/>
              </w:rPr>
              <w:t> </w:t>
            </w:r>
            <w:r w:rsidRPr="00687093">
              <w:rPr>
                <w:rFonts w:ascii="Times New Roman" w:eastAsia="Times New Roman" w:hAnsi="Times New Roman"/>
                <w:bCs/>
                <w:lang w:eastAsia="pl-PL"/>
              </w:rPr>
              <w:t>postępowaniu w sprawach dotyczących pomocy publicznej (Dz. U. z 20</w:t>
            </w:r>
            <w:r w:rsidR="0079462C">
              <w:rPr>
                <w:rFonts w:ascii="Times New Roman" w:eastAsia="Times New Roman" w:hAnsi="Times New Roman"/>
                <w:bCs/>
                <w:lang w:eastAsia="pl-PL"/>
              </w:rPr>
              <w:t>2</w:t>
            </w:r>
            <w:r w:rsidRPr="00687093">
              <w:rPr>
                <w:rFonts w:ascii="Times New Roman" w:eastAsia="Times New Roman" w:hAnsi="Times New Roman"/>
                <w:bCs/>
                <w:lang w:eastAsia="pl-PL"/>
              </w:rPr>
              <w:t xml:space="preserve">1 r. poz. </w:t>
            </w:r>
            <w:r w:rsidR="0079462C">
              <w:rPr>
                <w:rFonts w:ascii="Times New Roman" w:eastAsia="Times New Roman" w:hAnsi="Times New Roman"/>
                <w:bCs/>
                <w:lang w:eastAsia="pl-PL"/>
              </w:rPr>
              <w:t>743</w:t>
            </w:r>
            <w:r w:rsidRPr="00687093">
              <w:rPr>
                <w:rFonts w:ascii="Times New Roman" w:eastAsia="Times New Roman" w:hAnsi="Times New Roman"/>
                <w:bCs/>
                <w:lang w:eastAsia="pl-PL"/>
              </w:rPr>
              <w:t xml:space="preserve">, z </w:t>
            </w:r>
            <w:proofErr w:type="spellStart"/>
            <w:r w:rsidRPr="00687093">
              <w:rPr>
                <w:rFonts w:ascii="Times New Roman" w:eastAsia="Times New Roman" w:hAnsi="Times New Roman"/>
                <w:bCs/>
                <w:lang w:eastAsia="pl-PL"/>
              </w:rPr>
              <w:t>późn</w:t>
            </w:r>
            <w:proofErr w:type="spellEnd"/>
            <w:r w:rsidRPr="00687093">
              <w:rPr>
                <w:rFonts w:ascii="Times New Roman" w:eastAsia="Times New Roman" w:hAnsi="Times New Roman"/>
                <w:bCs/>
                <w:lang w:eastAsia="pl-PL"/>
              </w:rPr>
              <w:t xml:space="preserve">. zm.), której dokona Prezes Urzędu Ochrony Konkurencji i Konsumentów. Oprócz tego, projekt ustawy nie wymaga przedłożenia innym instytucjom i organom Unii Europejskiej, w tym Europejskiemu Bankowi Centralnemu, w celu uzyskania opinii, dokonania powiadomienia, konsultacji albo uzgodnień, o których mowa w uchwale nr 190 Rady Ministrów z dnia 29 października 2013 r. – </w:t>
            </w:r>
            <w:r w:rsidRPr="00D34F3C">
              <w:rPr>
                <w:rFonts w:ascii="Times New Roman" w:eastAsia="Times New Roman" w:hAnsi="Times New Roman"/>
                <w:bCs/>
                <w:lang w:eastAsia="pl-PL"/>
              </w:rPr>
              <w:t>Regulamin pracy Rady Ministrów</w:t>
            </w:r>
            <w:r w:rsidRPr="00687093">
              <w:rPr>
                <w:rFonts w:ascii="Times New Roman" w:eastAsia="Times New Roman" w:hAnsi="Times New Roman"/>
                <w:bCs/>
                <w:lang w:eastAsia="pl-PL"/>
              </w:rPr>
              <w:t>.</w:t>
            </w:r>
          </w:p>
          <w:p w14:paraId="5C3BAA0E" w14:textId="7CFB3A23" w:rsidR="002A1045" w:rsidRPr="00687093" w:rsidRDefault="008B2187" w:rsidP="008B2187">
            <w:pPr>
              <w:spacing w:after="120" w:line="240" w:lineRule="auto"/>
              <w:jc w:val="both"/>
              <w:rPr>
                <w:rFonts w:ascii="Times New Roman" w:hAnsi="Times New Roman"/>
                <w:spacing w:val="-2"/>
              </w:rPr>
            </w:pPr>
            <w:r w:rsidRPr="00687093">
              <w:rPr>
                <w:rFonts w:ascii="Times New Roman" w:hAnsi="Times New Roman"/>
                <w:color w:val="000000"/>
                <w:spacing w:val="-2"/>
              </w:rPr>
              <w:t>Wyniki opiniowania i konsultacji publicznych zostaną omówione w raporcie z opiniowania i konsultacji publicznych udostępnionym na stronie Rządowego Centrum Legislacji, w zakładce Rządowy Proces Legislacyjny.</w:t>
            </w:r>
          </w:p>
        </w:tc>
      </w:tr>
      <w:tr w:rsidR="008B2187" w:rsidRPr="00687093" w14:paraId="582661F5" w14:textId="77777777" w:rsidTr="00676C8D">
        <w:trPr>
          <w:gridAfter w:val="1"/>
          <w:wAfter w:w="10" w:type="dxa"/>
          <w:trHeight w:val="363"/>
        </w:trPr>
        <w:tc>
          <w:tcPr>
            <w:tcW w:w="10937" w:type="dxa"/>
            <w:gridSpan w:val="29"/>
            <w:shd w:val="clear" w:color="auto" w:fill="99CCFF"/>
            <w:vAlign w:val="center"/>
          </w:tcPr>
          <w:p w14:paraId="768B46C1"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 xml:space="preserve"> Wpływ na sektor finansów publicznych</w:t>
            </w:r>
          </w:p>
        </w:tc>
      </w:tr>
      <w:tr w:rsidR="008B2187" w:rsidRPr="00687093" w14:paraId="00EDA5C2" w14:textId="77777777" w:rsidTr="008B0DAC">
        <w:trPr>
          <w:gridAfter w:val="1"/>
          <w:wAfter w:w="10" w:type="dxa"/>
          <w:trHeight w:val="142"/>
        </w:trPr>
        <w:tc>
          <w:tcPr>
            <w:tcW w:w="3132" w:type="dxa"/>
            <w:gridSpan w:val="4"/>
            <w:vMerge w:val="restart"/>
            <w:shd w:val="clear" w:color="auto" w:fill="FFFFFF"/>
          </w:tcPr>
          <w:p w14:paraId="5388D9FB" w14:textId="1D7A4CDF" w:rsidR="008B2187" w:rsidRPr="00687093" w:rsidRDefault="008B2187" w:rsidP="008B2187">
            <w:pPr>
              <w:spacing w:line="240" w:lineRule="auto"/>
              <w:rPr>
                <w:rFonts w:ascii="Times New Roman" w:hAnsi="Times New Roman"/>
                <w:i/>
                <w:color w:val="000000"/>
              </w:rPr>
            </w:pPr>
            <w:r w:rsidRPr="00687093">
              <w:rPr>
                <w:rFonts w:ascii="Times New Roman" w:hAnsi="Times New Roman"/>
                <w:color w:val="000000"/>
              </w:rPr>
              <w:t>(ceny stałe z 2019 r.)</w:t>
            </w:r>
          </w:p>
        </w:tc>
        <w:tc>
          <w:tcPr>
            <w:tcW w:w="7805" w:type="dxa"/>
            <w:gridSpan w:val="25"/>
            <w:shd w:val="clear" w:color="auto" w:fill="FFFFFF"/>
          </w:tcPr>
          <w:p w14:paraId="441F5431" w14:textId="77777777" w:rsidR="008B2187" w:rsidRPr="00687093" w:rsidRDefault="008B2187" w:rsidP="008B2187">
            <w:pPr>
              <w:spacing w:line="240" w:lineRule="auto"/>
              <w:jc w:val="center"/>
              <w:rPr>
                <w:rFonts w:ascii="Times New Roman" w:hAnsi="Times New Roman"/>
                <w:i/>
                <w:color w:val="000000"/>
                <w:spacing w:val="-2"/>
              </w:rPr>
            </w:pPr>
            <w:r w:rsidRPr="00687093">
              <w:rPr>
                <w:rFonts w:ascii="Times New Roman" w:hAnsi="Times New Roman"/>
                <w:color w:val="000000"/>
              </w:rPr>
              <w:t>Skutki w okresie 10 lat od wejścia w życie zmian [mln zł]</w:t>
            </w:r>
          </w:p>
        </w:tc>
      </w:tr>
      <w:tr w:rsidR="008B2187" w:rsidRPr="00687093" w14:paraId="75C6E9A7" w14:textId="77777777" w:rsidTr="008B0DAC">
        <w:trPr>
          <w:gridAfter w:val="1"/>
          <w:wAfter w:w="10" w:type="dxa"/>
          <w:trHeight w:val="142"/>
        </w:trPr>
        <w:tc>
          <w:tcPr>
            <w:tcW w:w="3132" w:type="dxa"/>
            <w:gridSpan w:val="4"/>
            <w:vMerge/>
            <w:shd w:val="clear" w:color="auto" w:fill="FFFFFF"/>
          </w:tcPr>
          <w:p w14:paraId="37FCC1AB" w14:textId="77777777" w:rsidR="008B2187" w:rsidRPr="00687093" w:rsidRDefault="008B2187" w:rsidP="008B2187">
            <w:pPr>
              <w:spacing w:line="240" w:lineRule="auto"/>
              <w:rPr>
                <w:rFonts w:ascii="Times New Roman" w:hAnsi="Times New Roman"/>
                <w:i/>
                <w:color w:val="000000"/>
              </w:rPr>
            </w:pPr>
          </w:p>
        </w:tc>
        <w:tc>
          <w:tcPr>
            <w:tcW w:w="569" w:type="dxa"/>
            <w:gridSpan w:val="2"/>
            <w:shd w:val="clear" w:color="auto" w:fill="FFFFFF"/>
          </w:tcPr>
          <w:p w14:paraId="769E8DD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570" w:type="dxa"/>
            <w:gridSpan w:val="2"/>
            <w:shd w:val="clear" w:color="auto" w:fill="FFFFFF"/>
          </w:tcPr>
          <w:p w14:paraId="3BB38848"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w:t>
            </w:r>
          </w:p>
        </w:tc>
        <w:tc>
          <w:tcPr>
            <w:tcW w:w="570" w:type="dxa"/>
            <w:gridSpan w:val="2"/>
            <w:shd w:val="clear" w:color="auto" w:fill="FFFFFF"/>
          </w:tcPr>
          <w:p w14:paraId="718007A6"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2</w:t>
            </w:r>
          </w:p>
        </w:tc>
        <w:tc>
          <w:tcPr>
            <w:tcW w:w="569" w:type="dxa"/>
            <w:gridSpan w:val="3"/>
            <w:shd w:val="clear" w:color="auto" w:fill="FFFFFF"/>
          </w:tcPr>
          <w:p w14:paraId="57B24ECF"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3</w:t>
            </w:r>
          </w:p>
        </w:tc>
        <w:tc>
          <w:tcPr>
            <w:tcW w:w="570" w:type="dxa"/>
            <w:gridSpan w:val="2"/>
            <w:shd w:val="clear" w:color="auto" w:fill="FFFFFF"/>
          </w:tcPr>
          <w:p w14:paraId="6E863D6D"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4</w:t>
            </w:r>
          </w:p>
        </w:tc>
        <w:tc>
          <w:tcPr>
            <w:tcW w:w="570" w:type="dxa"/>
            <w:shd w:val="clear" w:color="auto" w:fill="FFFFFF"/>
          </w:tcPr>
          <w:p w14:paraId="2EEF83D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5</w:t>
            </w:r>
          </w:p>
        </w:tc>
        <w:tc>
          <w:tcPr>
            <w:tcW w:w="570" w:type="dxa"/>
            <w:gridSpan w:val="3"/>
            <w:shd w:val="clear" w:color="auto" w:fill="FFFFFF"/>
          </w:tcPr>
          <w:p w14:paraId="35A0E7A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6</w:t>
            </w:r>
          </w:p>
        </w:tc>
        <w:tc>
          <w:tcPr>
            <w:tcW w:w="569" w:type="dxa"/>
            <w:gridSpan w:val="4"/>
            <w:shd w:val="clear" w:color="auto" w:fill="FFFFFF"/>
          </w:tcPr>
          <w:p w14:paraId="78E2EB3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7</w:t>
            </w:r>
          </w:p>
        </w:tc>
        <w:tc>
          <w:tcPr>
            <w:tcW w:w="570" w:type="dxa"/>
            <w:shd w:val="clear" w:color="auto" w:fill="FFFFFF"/>
          </w:tcPr>
          <w:p w14:paraId="3467AEF9"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8</w:t>
            </w:r>
          </w:p>
        </w:tc>
        <w:tc>
          <w:tcPr>
            <w:tcW w:w="570" w:type="dxa"/>
            <w:gridSpan w:val="2"/>
            <w:shd w:val="clear" w:color="auto" w:fill="FFFFFF"/>
          </w:tcPr>
          <w:p w14:paraId="08B04D4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9</w:t>
            </w:r>
          </w:p>
        </w:tc>
        <w:tc>
          <w:tcPr>
            <w:tcW w:w="570" w:type="dxa"/>
            <w:shd w:val="clear" w:color="auto" w:fill="FFFFFF"/>
          </w:tcPr>
          <w:p w14:paraId="6E90F62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10</w:t>
            </w:r>
          </w:p>
        </w:tc>
        <w:tc>
          <w:tcPr>
            <w:tcW w:w="1538" w:type="dxa"/>
            <w:gridSpan w:val="2"/>
            <w:shd w:val="clear" w:color="auto" w:fill="FFFFFF"/>
          </w:tcPr>
          <w:p w14:paraId="4A3F3451" w14:textId="77777777" w:rsidR="008B2187" w:rsidRPr="00687093" w:rsidRDefault="008B2187" w:rsidP="008B2187">
            <w:pPr>
              <w:spacing w:line="240" w:lineRule="auto"/>
              <w:jc w:val="center"/>
              <w:rPr>
                <w:rFonts w:ascii="Times New Roman" w:hAnsi="Times New Roman"/>
                <w:i/>
                <w:color w:val="000000"/>
                <w:spacing w:val="-2"/>
              </w:rPr>
            </w:pPr>
            <w:r w:rsidRPr="00687093">
              <w:rPr>
                <w:rFonts w:ascii="Times New Roman" w:hAnsi="Times New Roman"/>
                <w:i/>
                <w:color w:val="000000"/>
                <w:spacing w:val="-2"/>
              </w:rPr>
              <w:t>Łącznie (0-10)</w:t>
            </w:r>
          </w:p>
        </w:tc>
      </w:tr>
      <w:tr w:rsidR="008B2187" w:rsidRPr="00687093" w14:paraId="4F7C33AD" w14:textId="77777777" w:rsidTr="008B0DAC">
        <w:trPr>
          <w:trHeight w:val="321"/>
        </w:trPr>
        <w:tc>
          <w:tcPr>
            <w:tcW w:w="3132" w:type="dxa"/>
            <w:gridSpan w:val="4"/>
            <w:shd w:val="clear" w:color="auto" w:fill="FFFFFF"/>
            <w:vAlign w:val="center"/>
          </w:tcPr>
          <w:p w14:paraId="6AFEB0E3"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b/>
                <w:color w:val="000000"/>
              </w:rPr>
              <w:t>Dochody ogółem</w:t>
            </w:r>
          </w:p>
        </w:tc>
        <w:tc>
          <w:tcPr>
            <w:tcW w:w="569" w:type="dxa"/>
            <w:gridSpan w:val="2"/>
            <w:shd w:val="clear" w:color="auto" w:fill="FFFFFF"/>
          </w:tcPr>
          <w:p w14:paraId="47D4F32B"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4F819874"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39C28032"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69" w:type="dxa"/>
            <w:gridSpan w:val="3"/>
            <w:shd w:val="clear" w:color="auto" w:fill="FFFFFF"/>
          </w:tcPr>
          <w:p w14:paraId="75BCC0C6"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653C5820"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570DA88D"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3"/>
            <w:shd w:val="clear" w:color="auto" w:fill="FFFFFF"/>
          </w:tcPr>
          <w:p w14:paraId="42081CC3"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69" w:type="dxa"/>
            <w:gridSpan w:val="4"/>
            <w:shd w:val="clear" w:color="auto" w:fill="FFFFFF"/>
          </w:tcPr>
          <w:p w14:paraId="4C444220"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71A9A4EE"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gridSpan w:val="2"/>
            <w:shd w:val="clear" w:color="auto" w:fill="FFFFFF"/>
          </w:tcPr>
          <w:p w14:paraId="14294077"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570" w:type="dxa"/>
            <w:shd w:val="clear" w:color="auto" w:fill="FFFFFF"/>
          </w:tcPr>
          <w:p w14:paraId="0D9ACE67" w14:textId="77777777" w:rsidR="008B2187" w:rsidRPr="00E273DC" w:rsidRDefault="008B2187" w:rsidP="008B2187">
            <w:pPr>
              <w:spacing w:line="240" w:lineRule="auto"/>
              <w:jc w:val="right"/>
              <w:rPr>
                <w:rFonts w:ascii="Times New Roman" w:hAnsi="Times New Roman"/>
                <w:b/>
                <w:color w:val="000000"/>
                <w:sz w:val="18"/>
                <w:szCs w:val="18"/>
              </w:rPr>
            </w:pPr>
            <w:r w:rsidRPr="00E273DC">
              <w:rPr>
                <w:rFonts w:ascii="Times New Roman" w:hAnsi="Times New Roman"/>
                <w:b/>
                <w:color w:val="000000"/>
                <w:sz w:val="18"/>
                <w:szCs w:val="18"/>
              </w:rPr>
              <w:t>0</w:t>
            </w:r>
          </w:p>
        </w:tc>
        <w:tc>
          <w:tcPr>
            <w:tcW w:w="1548" w:type="dxa"/>
            <w:gridSpan w:val="3"/>
            <w:shd w:val="clear" w:color="auto" w:fill="FFFFFF"/>
          </w:tcPr>
          <w:p w14:paraId="06ED0F9A" w14:textId="77777777" w:rsidR="008B2187" w:rsidRPr="00E273DC" w:rsidRDefault="008B2187" w:rsidP="008B2187">
            <w:pPr>
              <w:spacing w:line="240" w:lineRule="auto"/>
              <w:jc w:val="right"/>
              <w:rPr>
                <w:rFonts w:ascii="Times New Roman" w:hAnsi="Times New Roman"/>
                <w:b/>
                <w:color w:val="000000"/>
                <w:spacing w:val="-2"/>
                <w:sz w:val="18"/>
                <w:szCs w:val="18"/>
              </w:rPr>
            </w:pPr>
            <w:r w:rsidRPr="00E273DC">
              <w:rPr>
                <w:rFonts w:ascii="Times New Roman" w:hAnsi="Times New Roman"/>
                <w:b/>
                <w:color w:val="000000"/>
                <w:spacing w:val="-2"/>
                <w:sz w:val="18"/>
                <w:szCs w:val="18"/>
              </w:rPr>
              <w:t>0</w:t>
            </w:r>
          </w:p>
        </w:tc>
      </w:tr>
      <w:tr w:rsidR="008B2187" w:rsidRPr="00687093" w14:paraId="26C6FCA1" w14:textId="77777777" w:rsidTr="008B0DAC">
        <w:trPr>
          <w:trHeight w:val="321"/>
        </w:trPr>
        <w:tc>
          <w:tcPr>
            <w:tcW w:w="3132" w:type="dxa"/>
            <w:gridSpan w:val="4"/>
            <w:shd w:val="clear" w:color="auto" w:fill="FFFFFF"/>
            <w:vAlign w:val="center"/>
          </w:tcPr>
          <w:p w14:paraId="6AD75E8B"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lastRenderedPageBreak/>
              <w:t>budżet państwa</w:t>
            </w:r>
          </w:p>
        </w:tc>
        <w:tc>
          <w:tcPr>
            <w:tcW w:w="569" w:type="dxa"/>
            <w:gridSpan w:val="2"/>
            <w:shd w:val="clear" w:color="auto" w:fill="FFFFFF"/>
          </w:tcPr>
          <w:p w14:paraId="6352ED82" w14:textId="730E776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F6E8D88" w14:textId="00F3623E"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F389D88" w14:textId="140C950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4A003F73" w14:textId="1E0F84D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68EFED7" w14:textId="5467254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36D32C56" w14:textId="04EFA48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5E58BBDA" w14:textId="7887EDD0"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0D2B8785" w14:textId="74AE588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9FAAD51" w14:textId="5F88632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0D7D884" w14:textId="05CF8E3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7399FC7E" w14:textId="068FEEDC"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757864FC" w14:textId="657CF335" w:rsidR="008B2187" w:rsidRPr="00E273DC" w:rsidRDefault="008B2187" w:rsidP="008B2187">
            <w:pPr>
              <w:spacing w:line="240" w:lineRule="auto"/>
              <w:jc w:val="right"/>
              <w:rPr>
                <w:rFonts w:ascii="Times New Roman" w:hAnsi="Times New Roman"/>
                <w:color w:val="000000"/>
                <w:spacing w:val="-2"/>
                <w:sz w:val="18"/>
                <w:szCs w:val="18"/>
              </w:rPr>
            </w:pPr>
            <w:r w:rsidRPr="00E273DC">
              <w:rPr>
                <w:rFonts w:ascii="Times New Roman" w:hAnsi="Times New Roman"/>
                <w:color w:val="000000"/>
                <w:spacing w:val="-2"/>
                <w:sz w:val="18"/>
                <w:szCs w:val="18"/>
              </w:rPr>
              <w:t>0</w:t>
            </w:r>
          </w:p>
        </w:tc>
      </w:tr>
      <w:tr w:rsidR="008B2187" w:rsidRPr="00687093" w14:paraId="653D16A5" w14:textId="77777777" w:rsidTr="008B0DAC">
        <w:trPr>
          <w:trHeight w:val="344"/>
        </w:trPr>
        <w:tc>
          <w:tcPr>
            <w:tcW w:w="3132" w:type="dxa"/>
            <w:gridSpan w:val="4"/>
            <w:shd w:val="clear" w:color="auto" w:fill="FFFFFF"/>
            <w:vAlign w:val="center"/>
          </w:tcPr>
          <w:p w14:paraId="3AD6615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4D601613" w14:textId="0D08D7E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A3BB2D6" w14:textId="7754880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F48B713" w14:textId="41BD0ED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03A42D25" w14:textId="25DCAE18"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C64A4BB" w14:textId="140F2A4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C106DEE" w14:textId="2B4B5B0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2D560EB1" w14:textId="11BB40CC"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597E5DDD" w14:textId="07DAEC7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FE3BEA6" w14:textId="0E50BD1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F15DE91" w14:textId="7A540EF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508289B" w14:textId="5ACB32B4"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650AAA88" w14:textId="172AF16F"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8B2187" w:rsidRPr="00687093" w14:paraId="7A71C786" w14:textId="77777777" w:rsidTr="008B0DAC">
        <w:trPr>
          <w:trHeight w:val="344"/>
        </w:trPr>
        <w:tc>
          <w:tcPr>
            <w:tcW w:w="3132" w:type="dxa"/>
            <w:gridSpan w:val="4"/>
            <w:shd w:val="clear" w:color="auto" w:fill="FFFFFF"/>
            <w:vAlign w:val="center"/>
          </w:tcPr>
          <w:p w14:paraId="739A9FB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0DEE1F47" w14:textId="274FBF6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03329A93" w14:textId="396F211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7609A39" w14:textId="0CEF64C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6009459D" w14:textId="56F8E7A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EC07EC3" w14:textId="24D6CDA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19CBD9CE" w14:textId="5F9D296E"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3C6F7AF2" w14:textId="57B18BE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1BCC57DA" w14:textId="5150124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09531A0B" w14:textId="4A72E0BD"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541AD549" w14:textId="3424942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247541B0" w14:textId="406519D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4165D38E" w14:textId="019DA0B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9E525D" w:rsidRPr="00687093" w14:paraId="0F06C105" w14:textId="77777777" w:rsidTr="009E525D">
        <w:trPr>
          <w:trHeight w:val="330"/>
        </w:trPr>
        <w:tc>
          <w:tcPr>
            <w:tcW w:w="3132" w:type="dxa"/>
            <w:gridSpan w:val="4"/>
            <w:shd w:val="clear" w:color="auto" w:fill="FFFFFF"/>
            <w:vAlign w:val="center"/>
          </w:tcPr>
          <w:p w14:paraId="7A0050D1" w14:textId="77777777" w:rsidR="009E525D" w:rsidRPr="00687093" w:rsidRDefault="009E525D" w:rsidP="009E525D">
            <w:pPr>
              <w:spacing w:line="240" w:lineRule="auto"/>
              <w:rPr>
                <w:rFonts w:ascii="Times New Roman" w:hAnsi="Times New Roman"/>
                <w:color w:val="000000"/>
              </w:rPr>
            </w:pPr>
            <w:r w:rsidRPr="00687093">
              <w:rPr>
                <w:rFonts w:ascii="Times New Roman" w:hAnsi="Times New Roman"/>
                <w:b/>
                <w:color w:val="000000"/>
              </w:rPr>
              <w:t>Wydatki ogółem</w:t>
            </w:r>
          </w:p>
        </w:tc>
        <w:tc>
          <w:tcPr>
            <w:tcW w:w="569" w:type="dxa"/>
            <w:gridSpan w:val="2"/>
            <w:shd w:val="clear" w:color="auto" w:fill="FFFFFF"/>
          </w:tcPr>
          <w:p w14:paraId="79296CEA" w14:textId="77777777" w:rsidR="009E525D" w:rsidRPr="008E0EF6" w:rsidRDefault="009E525D" w:rsidP="009E525D">
            <w:pPr>
              <w:spacing w:line="240" w:lineRule="auto"/>
              <w:jc w:val="right"/>
              <w:rPr>
                <w:rFonts w:ascii="Times New Roman" w:hAnsi="Times New Roman"/>
                <w:b/>
                <w:color w:val="000000"/>
                <w:sz w:val="18"/>
                <w:szCs w:val="18"/>
              </w:rPr>
            </w:pPr>
            <w:r w:rsidRPr="008E0EF6">
              <w:rPr>
                <w:rFonts w:ascii="Times New Roman" w:hAnsi="Times New Roman"/>
                <w:b/>
                <w:color w:val="000000"/>
                <w:sz w:val="18"/>
                <w:szCs w:val="18"/>
              </w:rPr>
              <w:t>0</w:t>
            </w:r>
          </w:p>
        </w:tc>
        <w:tc>
          <w:tcPr>
            <w:tcW w:w="570" w:type="dxa"/>
            <w:gridSpan w:val="2"/>
            <w:shd w:val="clear" w:color="auto" w:fill="FFFFFF"/>
          </w:tcPr>
          <w:p w14:paraId="45444B1D" w14:textId="38D4A5FC"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2,8</w:t>
            </w:r>
            <w:r w:rsidR="001E4D81">
              <w:rPr>
                <w:rFonts w:ascii="Times New Roman" w:eastAsia="Times New Roman" w:hAnsi="Times New Roman"/>
                <w:b/>
                <w:bCs/>
                <w:color w:val="000000"/>
                <w:sz w:val="18"/>
                <w:szCs w:val="18"/>
                <w:lang w:eastAsia="pl-PL"/>
              </w:rPr>
              <w:t>3</w:t>
            </w:r>
          </w:p>
        </w:tc>
        <w:tc>
          <w:tcPr>
            <w:tcW w:w="570" w:type="dxa"/>
            <w:gridSpan w:val="2"/>
            <w:shd w:val="clear" w:color="auto" w:fill="FFFFFF"/>
          </w:tcPr>
          <w:p w14:paraId="680265FC" w14:textId="32220545"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1,89</w:t>
            </w:r>
          </w:p>
        </w:tc>
        <w:tc>
          <w:tcPr>
            <w:tcW w:w="569" w:type="dxa"/>
            <w:gridSpan w:val="3"/>
            <w:shd w:val="clear" w:color="auto" w:fill="FFFFFF"/>
          </w:tcPr>
          <w:p w14:paraId="3F0F5534" w14:textId="15DB98B8"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1,94</w:t>
            </w:r>
          </w:p>
        </w:tc>
        <w:tc>
          <w:tcPr>
            <w:tcW w:w="570" w:type="dxa"/>
            <w:gridSpan w:val="2"/>
            <w:shd w:val="clear" w:color="auto" w:fill="FFFFFF"/>
          </w:tcPr>
          <w:p w14:paraId="4A4491DE" w14:textId="25CC09ED"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1,99</w:t>
            </w:r>
          </w:p>
        </w:tc>
        <w:tc>
          <w:tcPr>
            <w:tcW w:w="570" w:type="dxa"/>
            <w:shd w:val="clear" w:color="auto" w:fill="FFFFFF"/>
          </w:tcPr>
          <w:p w14:paraId="439CD3A8" w14:textId="6B8B8265"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3.09</w:t>
            </w:r>
          </w:p>
        </w:tc>
        <w:tc>
          <w:tcPr>
            <w:tcW w:w="570" w:type="dxa"/>
            <w:gridSpan w:val="3"/>
            <w:shd w:val="clear" w:color="auto" w:fill="FFFFFF"/>
          </w:tcPr>
          <w:p w14:paraId="72709DFC" w14:textId="6216401F"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69" w:type="dxa"/>
            <w:gridSpan w:val="4"/>
            <w:shd w:val="clear" w:color="auto" w:fill="FFFFFF"/>
          </w:tcPr>
          <w:p w14:paraId="6569B119" w14:textId="0AA6C09A" w:rsidR="009E525D" w:rsidRPr="008E0EF6" w:rsidRDefault="00F26A65" w:rsidP="009E525D">
            <w:pPr>
              <w:spacing w:line="240" w:lineRule="auto"/>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70" w:type="dxa"/>
            <w:shd w:val="clear" w:color="auto" w:fill="FFFFFF"/>
          </w:tcPr>
          <w:p w14:paraId="22BC034C" w14:textId="0631D0FC"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2,20</w:t>
            </w:r>
          </w:p>
        </w:tc>
        <w:tc>
          <w:tcPr>
            <w:tcW w:w="570" w:type="dxa"/>
            <w:gridSpan w:val="2"/>
            <w:shd w:val="clear" w:color="auto" w:fill="FFFFFF"/>
          </w:tcPr>
          <w:p w14:paraId="21D72DB6" w14:textId="4E5FFB5A"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2,29</w:t>
            </w:r>
          </w:p>
        </w:tc>
        <w:tc>
          <w:tcPr>
            <w:tcW w:w="570" w:type="dxa"/>
            <w:shd w:val="clear" w:color="auto" w:fill="FFFFFF"/>
          </w:tcPr>
          <w:p w14:paraId="5701744F" w14:textId="05BD3A7B" w:rsidR="009E525D" w:rsidRPr="008E0EF6" w:rsidRDefault="009E525D" w:rsidP="009E525D">
            <w:pPr>
              <w:spacing w:line="240" w:lineRule="auto"/>
              <w:jc w:val="center"/>
              <w:rPr>
                <w:rFonts w:ascii="Times New Roman" w:hAnsi="Times New Roman"/>
                <w:b/>
                <w:color w:val="000000"/>
                <w:sz w:val="18"/>
                <w:szCs w:val="18"/>
              </w:rPr>
            </w:pPr>
            <w:r w:rsidRPr="00750A9C">
              <w:rPr>
                <w:rFonts w:ascii="Times New Roman" w:eastAsia="Times New Roman" w:hAnsi="Times New Roman"/>
                <w:b/>
                <w:bCs/>
                <w:color w:val="000000"/>
                <w:sz w:val="18"/>
                <w:szCs w:val="18"/>
                <w:lang w:eastAsia="pl-PL"/>
              </w:rPr>
              <w:t>2,31</w:t>
            </w:r>
          </w:p>
        </w:tc>
        <w:tc>
          <w:tcPr>
            <w:tcW w:w="1548" w:type="dxa"/>
            <w:gridSpan w:val="3"/>
            <w:shd w:val="clear" w:color="auto" w:fill="FFFFFF"/>
          </w:tcPr>
          <w:p w14:paraId="6DD7E8B1" w14:textId="01BD101B" w:rsidR="009E525D" w:rsidRPr="008E0EF6" w:rsidRDefault="00F26A65" w:rsidP="009E525D">
            <w:pPr>
              <w:spacing w:line="240" w:lineRule="auto"/>
              <w:jc w:val="right"/>
              <w:rPr>
                <w:rFonts w:ascii="Times New Roman" w:hAnsi="Times New Roman"/>
                <w:b/>
                <w:color w:val="000000"/>
                <w:sz w:val="18"/>
                <w:szCs w:val="18"/>
              </w:rPr>
            </w:pPr>
            <w:r>
              <w:rPr>
                <w:rFonts w:ascii="Times New Roman" w:hAnsi="Times New Roman"/>
                <w:b/>
                <w:color w:val="000000"/>
                <w:sz w:val="18"/>
                <w:szCs w:val="18"/>
              </w:rPr>
              <w:t>24,77</w:t>
            </w:r>
          </w:p>
        </w:tc>
      </w:tr>
      <w:tr w:rsidR="009E525D" w:rsidRPr="00687093" w14:paraId="70691718" w14:textId="77777777" w:rsidTr="008B0DAC">
        <w:trPr>
          <w:trHeight w:val="330"/>
        </w:trPr>
        <w:tc>
          <w:tcPr>
            <w:tcW w:w="3132" w:type="dxa"/>
            <w:gridSpan w:val="4"/>
            <w:shd w:val="clear" w:color="auto" w:fill="FFFFFF"/>
            <w:vAlign w:val="center"/>
          </w:tcPr>
          <w:p w14:paraId="112793E4" w14:textId="77777777" w:rsidR="009E525D" w:rsidRPr="00687093" w:rsidRDefault="009E525D" w:rsidP="009E525D">
            <w:pPr>
              <w:spacing w:line="240" w:lineRule="auto"/>
              <w:rPr>
                <w:rFonts w:ascii="Times New Roman" w:hAnsi="Times New Roman"/>
                <w:color w:val="000000"/>
              </w:rPr>
            </w:pPr>
            <w:r w:rsidRPr="00687093">
              <w:rPr>
                <w:rFonts w:ascii="Times New Roman" w:hAnsi="Times New Roman"/>
                <w:color w:val="000000"/>
              </w:rPr>
              <w:t>budżet państwa</w:t>
            </w:r>
          </w:p>
        </w:tc>
        <w:tc>
          <w:tcPr>
            <w:tcW w:w="569" w:type="dxa"/>
            <w:gridSpan w:val="2"/>
            <w:shd w:val="clear" w:color="auto" w:fill="FFFFFF"/>
          </w:tcPr>
          <w:p w14:paraId="366158B6" w14:textId="3F11B389" w:rsidR="009E525D" w:rsidRPr="00E273DC" w:rsidRDefault="009E525D" w:rsidP="009E525D">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F951183" w14:textId="342F24B2"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2,8</w:t>
            </w:r>
            <w:r w:rsidR="001E4D81">
              <w:rPr>
                <w:rFonts w:ascii="Times New Roman" w:eastAsia="Times New Roman" w:hAnsi="Times New Roman"/>
                <w:color w:val="000000"/>
                <w:sz w:val="18"/>
                <w:szCs w:val="18"/>
                <w:lang w:eastAsia="pl-PL"/>
              </w:rPr>
              <w:t>3</w:t>
            </w:r>
          </w:p>
        </w:tc>
        <w:tc>
          <w:tcPr>
            <w:tcW w:w="570" w:type="dxa"/>
            <w:gridSpan w:val="2"/>
            <w:shd w:val="clear" w:color="auto" w:fill="FFFFFF"/>
          </w:tcPr>
          <w:p w14:paraId="24CDAECD" w14:textId="1ABCA958"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1,89</w:t>
            </w:r>
          </w:p>
        </w:tc>
        <w:tc>
          <w:tcPr>
            <w:tcW w:w="569" w:type="dxa"/>
            <w:gridSpan w:val="3"/>
            <w:shd w:val="clear" w:color="auto" w:fill="FFFFFF"/>
          </w:tcPr>
          <w:p w14:paraId="01B7AAA5" w14:textId="2C366B65"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1,94</w:t>
            </w:r>
          </w:p>
        </w:tc>
        <w:tc>
          <w:tcPr>
            <w:tcW w:w="570" w:type="dxa"/>
            <w:gridSpan w:val="2"/>
            <w:shd w:val="clear" w:color="auto" w:fill="FFFFFF"/>
          </w:tcPr>
          <w:p w14:paraId="7E1A29F2" w14:textId="50A12DCA"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1,99</w:t>
            </w:r>
          </w:p>
        </w:tc>
        <w:tc>
          <w:tcPr>
            <w:tcW w:w="570" w:type="dxa"/>
            <w:shd w:val="clear" w:color="auto" w:fill="FFFFFF"/>
          </w:tcPr>
          <w:p w14:paraId="4CC816FC" w14:textId="4D1F8B2A"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3.09</w:t>
            </w:r>
          </w:p>
        </w:tc>
        <w:tc>
          <w:tcPr>
            <w:tcW w:w="570" w:type="dxa"/>
            <w:gridSpan w:val="3"/>
            <w:shd w:val="clear" w:color="auto" w:fill="FFFFFF"/>
          </w:tcPr>
          <w:p w14:paraId="3326ABDF" w14:textId="4E2A9C4E"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69" w:type="dxa"/>
            <w:gridSpan w:val="4"/>
            <w:shd w:val="clear" w:color="auto" w:fill="FFFFFF"/>
          </w:tcPr>
          <w:p w14:paraId="6D9C5A2F" w14:textId="53BB4935" w:rsidR="009E525D" w:rsidRPr="009E525D" w:rsidRDefault="00F26A65" w:rsidP="009E525D">
            <w:pPr>
              <w:spacing w:line="240" w:lineRule="auto"/>
              <w:jc w:val="right"/>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70" w:type="dxa"/>
            <w:shd w:val="clear" w:color="auto" w:fill="FFFFFF"/>
          </w:tcPr>
          <w:p w14:paraId="223CA48D" w14:textId="0A404D66"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2,20</w:t>
            </w:r>
          </w:p>
        </w:tc>
        <w:tc>
          <w:tcPr>
            <w:tcW w:w="570" w:type="dxa"/>
            <w:gridSpan w:val="2"/>
            <w:shd w:val="clear" w:color="auto" w:fill="FFFFFF"/>
          </w:tcPr>
          <w:p w14:paraId="0B818939" w14:textId="123D48C6"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2,29</w:t>
            </w:r>
          </w:p>
        </w:tc>
        <w:tc>
          <w:tcPr>
            <w:tcW w:w="570" w:type="dxa"/>
            <w:shd w:val="clear" w:color="auto" w:fill="FFFFFF"/>
          </w:tcPr>
          <w:p w14:paraId="0379F493" w14:textId="0CE326D1" w:rsidR="009E525D" w:rsidRPr="009E525D" w:rsidRDefault="009E525D" w:rsidP="009E525D">
            <w:pPr>
              <w:spacing w:line="240" w:lineRule="auto"/>
              <w:jc w:val="right"/>
              <w:rPr>
                <w:rFonts w:ascii="Times New Roman" w:hAnsi="Times New Roman"/>
                <w:color w:val="000000"/>
                <w:sz w:val="18"/>
                <w:szCs w:val="18"/>
              </w:rPr>
            </w:pPr>
            <w:r w:rsidRPr="00750A9C">
              <w:rPr>
                <w:rFonts w:ascii="Times New Roman" w:eastAsia="Times New Roman" w:hAnsi="Times New Roman"/>
                <w:color w:val="000000"/>
                <w:sz w:val="18"/>
                <w:szCs w:val="18"/>
                <w:lang w:eastAsia="pl-PL"/>
              </w:rPr>
              <w:t>2,31</w:t>
            </w:r>
          </w:p>
        </w:tc>
        <w:tc>
          <w:tcPr>
            <w:tcW w:w="1548" w:type="dxa"/>
            <w:gridSpan w:val="3"/>
            <w:shd w:val="clear" w:color="auto" w:fill="FFFFFF"/>
          </w:tcPr>
          <w:p w14:paraId="78A86CF6" w14:textId="01415F70" w:rsidR="009E525D" w:rsidRPr="009E525D" w:rsidRDefault="00F26A65" w:rsidP="009E525D">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24,77</w:t>
            </w:r>
          </w:p>
        </w:tc>
      </w:tr>
      <w:tr w:rsidR="008B2187" w:rsidRPr="00687093" w14:paraId="11DDB547" w14:textId="77777777" w:rsidTr="008B0DAC">
        <w:trPr>
          <w:trHeight w:val="351"/>
        </w:trPr>
        <w:tc>
          <w:tcPr>
            <w:tcW w:w="3132" w:type="dxa"/>
            <w:gridSpan w:val="4"/>
            <w:shd w:val="clear" w:color="auto" w:fill="FFFFFF"/>
            <w:vAlign w:val="center"/>
          </w:tcPr>
          <w:p w14:paraId="0AA7EC2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671A83EE" w14:textId="25215CB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F442869" w14:textId="41F316B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74CF3402" w14:textId="04A0CF4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3"/>
            <w:shd w:val="clear" w:color="auto" w:fill="FFFFFF"/>
          </w:tcPr>
          <w:p w14:paraId="4C0B3845" w14:textId="283DA6EC"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657A9F88" w14:textId="0FBB094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2C4716E6" w14:textId="155EFED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3"/>
            <w:shd w:val="clear" w:color="auto" w:fill="FFFFFF"/>
          </w:tcPr>
          <w:p w14:paraId="3E463E03" w14:textId="6AB1F6EF"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4"/>
            <w:shd w:val="clear" w:color="auto" w:fill="FFFFFF"/>
          </w:tcPr>
          <w:p w14:paraId="27C5C55E" w14:textId="485B1BC5"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69317D8A" w14:textId="5F6B5766"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2AAA0188" w14:textId="37FDE8F2"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5709958C" w14:textId="255D9F4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1548" w:type="dxa"/>
            <w:gridSpan w:val="3"/>
            <w:shd w:val="clear" w:color="auto" w:fill="FFFFFF"/>
          </w:tcPr>
          <w:p w14:paraId="25BAFF37" w14:textId="13B47EC0"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r>
      <w:tr w:rsidR="008B2187" w:rsidRPr="00687093" w14:paraId="215D82C5" w14:textId="77777777" w:rsidTr="008B0DAC">
        <w:trPr>
          <w:trHeight w:val="351"/>
        </w:trPr>
        <w:tc>
          <w:tcPr>
            <w:tcW w:w="3132" w:type="dxa"/>
            <w:gridSpan w:val="4"/>
            <w:shd w:val="clear" w:color="auto" w:fill="FFFFFF"/>
            <w:vAlign w:val="center"/>
          </w:tcPr>
          <w:p w14:paraId="01802589"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2C2CA9D9" w14:textId="0BEDEEE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87CC2B3" w14:textId="25BC5669"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75461C56" w14:textId="454BB66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3"/>
            <w:shd w:val="clear" w:color="auto" w:fill="FFFFFF"/>
          </w:tcPr>
          <w:p w14:paraId="1DBA0688" w14:textId="60397F6D"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0499497B" w14:textId="18DA74AE"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07A49E66" w14:textId="7863847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3"/>
            <w:shd w:val="clear" w:color="auto" w:fill="FFFFFF"/>
          </w:tcPr>
          <w:p w14:paraId="515D50B2" w14:textId="1CDD23C5"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69" w:type="dxa"/>
            <w:gridSpan w:val="4"/>
            <w:shd w:val="clear" w:color="auto" w:fill="FFFFFF"/>
          </w:tcPr>
          <w:p w14:paraId="03EDABDD" w14:textId="6A453273"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4FE6DFAD" w14:textId="7BAD5677"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gridSpan w:val="2"/>
            <w:shd w:val="clear" w:color="auto" w:fill="FFFFFF"/>
          </w:tcPr>
          <w:p w14:paraId="671FD7FF" w14:textId="22DE6528"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570" w:type="dxa"/>
            <w:shd w:val="clear" w:color="auto" w:fill="FFFFFF"/>
          </w:tcPr>
          <w:p w14:paraId="4BAE3DE8" w14:textId="48DB6FD2"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c>
          <w:tcPr>
            <w:tcW w:w="1548" w:type="dxa"/>
            <w:gridSpan w:val="3"/>
            <w:shd w:val="clear" w:color="auto" w:fill="FFFFFF"/>
          </w:tcPr>
          <w:p w14:paraId="7689D92D" w14:textId="0E6F4D51" w:rsidR="008B2187" w:rsidRPr="008E0EF6" w:rsidRDefault="008B2187" w:rsidP="008B2187">
            <w:pPr>
              <w:spacing w:line="240" w:lineRule="auto"/>
              <w:jc w:val="right"/>
              <w:rPr>
                <w:rFonts w:ascii="Times New Roman" w:hAnsi="Times New Roman"/>
                <w:color w:val="000000"/>
                <w:sz w:val="18"/>
                <w:szCs w:val="18"/>
              </w:rPr>
            </w:pPr>
            <w:r w:rsidRPr="008E0EF6">
              <w:rPr>
                <w:rFonts w:ascii="Times New Roman" w:hAnsi="Times New Roman"/>
                <w:color w:val="000000"/>
                <w:sz w:val="18"/>
                <w:szCs w:val="18"/>
              </w:rPr>
              <w:t>0</w:t>
            </w:r>
          </w:p>
        </w:tc>
      </w:tr>
      <w:tr w:rsidR="00F26A65" w:rsidRPr="00687093" w14:paraId="165B0A93" w14:textId="77777777" w:rsidTr="008B0DAC">
        <w:trPr>
          <w:trHeight w:val="360"/>
        </w:trPr>
        <w:tc>
          <w:tcPr>
            <w:tcW w:w="3132" w:type="dxa"/>
            <w:gridSpan w:val="4"/>
            <w:shd w:val="clear" w:color="auto" w:fill="FFFFFF"/>
            <w:vAlign w:val="center"/>
          </w:tcPr>
          <w:p w14:paraId="1B6E76F1" w14:textId="77777777" w:rsidR="00F26A65" w:rsidRPr="00687093" w:rsidRDefault="00F26A65" w:rsidP="00F26A65">
            <w:pPr>
              <w:spacing w:line="240" w:lineRule="auto"/>
              <w:rPr>
                <w:rFonts w:ascii="Times New Roman" w:hAnsi="Times New Roman"/>
                <w:color w:val="000000"/>
              </w:rPr>
            </w:pPr>
            <w:r w:rsidRPr="00687093">
              <w:rPr>
                <w:rFonts w:ascii="Times New Roman" w:hAnsi="Times New Roman"/>
                <w:b/>
                <w:color w:val="000000"/>
              </w:rPr>
              <w:t>Saldo ogółem</w:t>
            </w:r>
          </w:p>
        </w:tc>
        <w:tc>
          <w:tcPr>
            <w:tcW w:w="569" w:type="dxa"/>
            <w:gridSpan w:val="2"/>
            <w:shd w:val="clear" w:color="auto" w:fill="FFFFFF"/>
          </w:tcPr>
          <w:p w14:paraId="77D5B7F1" w14:textId="1E07915C" w:rsidR="00F26A65" w:rsidRPr="008E0EF6" w:rsidRDefault="00F26A65" w:rsidP="00F26A65">
            <w:pPr>
              <w:spacing w:line="240" w:lineRule="auto"/>
              <w:jc w:val="right"/>
              <w:rPr>
                <w:rFonts w:ascii="Times New Roman" w:hAnsi="Times New Roman"/>
                <w:b/>
                <w:color w:val="000000"/>
                <w:sz w:val="18"/>
                <w:szCs w:val="18"/>
              </w:rPr>
            </w:pPr>
            <w:r w:rsidRPr="008E0EF6">
              <w:rPr>
                <w:rFonts w:ascii="Times New Roman" w:hAnsi="Times New Roman"/>
                <w:b/>
                <w:color w:val="000000"/>
                <w:sz w:val="18"/>
                <w:szCs w:val="18"/>
              </w:rPr>
              <w:t>0</w:t>
            </w:r>
          </w:p>
        </w:tc>
        <w:tc>
          <w:tcPr>
            <w:tcW w:w="570" w:type="dxa"/>
            <w:gridSpan w:val="2"/>
            <w:shd w:val="clear" w:color="auto" w:fill="FFFFFF"/>
          </w:tcPr>
          <w:p w14:paraId="5CFE81D3" w14:textId="75AFBE4C" w:rsidR="00F26A65" w:rsidRPr="008E0EF6" w:rsidRDefault="00F26A65" w:rsidP="00F26A65">
            <w:pPr>
              <w:spacing w:line="240" w:lineRule="auto"/>
              <w:ind w:right="-119"/>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2,8</w:t>
            </w:r>
            <w:r>
              <w:rPr>
                <w:rFonts w:ascii="Times New Roman" w:eastAsia="Times New Roman" w:hAnsi="Times New Roman"/>
                <w:b/>
                <w:bCs/>
                <w:color w:val="000000"/>
                <w:sz w:val="18"/>
                <w:szCs w:val="18"/>
                <w:lang w:eastAsia="pl-PL"/>
              </w:rPr>
              <w:t>3</w:t>
            </w:r>
          </w:p>
        </w:tc>
        <w:tc>
          <w:tcPr>
            <w:tcW w:w="570" w:type="dxa"/>
            <w:gridSpan w:val="2"/>
            <w:shd w:val="clear" w:color="auto" w:fill="FFFFFF"/>
          </w:tcPr>
          <w:p w14:paraId="2AC75D6F" w14:textId="301652E2" w:rsidR="00F26A65" w:rsidRPr="008E0EF6" w:rsidRDefault="00F26A65" w:rsidP="00F26A65">
            <w:pPr>
              <w:spacing w:line="240" w:lineRule="auto"/>
              <w:ind w:right="-118"/>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1,89</w:t>
            </w:r>
          </w:p>
        </w:tc>
        <w:tc>
          <w:tcPr>
            <w:tcW w:w="569" w:type="dxa"/>
            <w:gridSpan w:val="3"/>
            <w:shd w:val="clear" w:color="auto" w:fill="FFFFFF"/>
          </w:tcPr>
          <w:p w14:paraId="3D5846BD" w14:textId="637669D0" w:rsidR="00F26A65" w:rsidRPr="008E0EF6" w:rsidRDefault="00F26A65" w:rsidP="00F26A65">
            <w:pPr>
              <w:spacing w:line="240" w:lineRule="auto"/>
              <w:ind w:right="-117"/>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1,94</w:t>
            </w:r>
          </w:p>
        </w:tc>
        <w:tc>
          <w:tcPr>
            <w:tcW w:w="570" w:type="dxa"/>
            <w:gridSpan w:val="2"/>
            <w:shd w:val="clear" w:color="auto" w:fill="FFFFFF"/>
          </w:tcPr>
          <w:p w14:paraId="7E9E8B36" w14:textId="50C6415E" w:rsidR="00F26A65" w:rsidRPr="008E0EF6" w:rsidRDefault="00F26A65" w:rsidP="00F26A65">
            <w:pPr>
              <w:spacing w:line="240" w:lineRule="auto"/>
              <w:ind w:right="-108"/>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1,99</w:t>
            </w:r>
          </w:p>
        </w:tc>
        <w:tc>
          <w:tcPr>
            <w:tcW w:w="570" w:type="dxa"/>
            <w:shd w:val="clear" w:color="auto" w:fill="FFFFFF"/>
          </w:tcPr>
          <w:p w14:paraId="234F8C8E" w14:textId="76AD5429" w:rsidR="00F26A65" w:rsidRPr="008E0EF6" w:rsidRDefault="00F26A65" w:rsidP="00F26A65">
            <w:pPr>
              <w:spacing w:line="240" w:lineRule="auto"/>
              <w:ind w:right="-107"/>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-3.09</w:t>
            </w:r>
          </w:p>
        </w:tc>
        <w:tc>
          <w:tcPr>
            <w:tcW w:w="570" w:type="dxa"/>
            <w:gridSpan w:val="3"/>
            <w:shd w:val="clear" w:color="auto" w:fill="FFFFFF"/>
          </w:tcPr>
          <w:p w14:paraId="3DCFF9D4" w14:textId="16CF562A" w:rsidR="00F26A65" w:rsidRPr="008E0EF6" w:rsidRDefault="00F26A65" w:rsidP="00F26A65">
            <w:pPr>
              <w:spacing w:line="240" w:lineRule="auto"/>
              <w:ind w:right="-106"/>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69" w:type="dxa"/>
            <w:gridSpan w:val="4"/>
            <w:shd w:val="clear" w:color="auto" w:fill="FFFFFF"/>
          </w:tcPr>
          <w:p w14:paraId="6EB0167A" w14:textId="68340828" w:rsidR="00F26A65" w:rsidRPr="008E0EF6" w:rsidRDefault="00F26A65" w:rsidP="00F26A65">
            <w:pPr>
              <w:spacing w:line="240" w:lineRule="auto"/>
              <w:ind w:right="-105"/>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-3,12</w:t>
            </w:r>
          </w:p>
        </w:tc>
        <w:tc>
          <w:tcPr>
            <w:tcW w:w="570" w:type="dxa"/>
            <w:shd w:val="clear" w:color="auto" w:fill="FFFFFF"/>
          </w:tcPr>
          <w:p w14:paraId="745B25B3" w14:textId="23781049" w:rsidR="00F26A65" w:rsidRPr="008E0EF6" w:rsidRDefault="00F26A65" w:rsidP="00F26A65">
            <w:pPr>
              <w:spacing w:line="240" w:lineRule="auto"/>
              <w:ind w:right="-96"/>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2,20</w:t>
            </w:r>
          </w:p>
        </w:tc>
        <w:tc>
          <w:tcPr>
            <w:tcW w:w="570" w:type="dxa"/>
            <w:gridSpan w:val="2"/>
            <w:shd w:val="clear" w:color="auto" w:fill="FFFFFF"/>
          </w:tcPr>
          <w:p w14:paraId="67C24D12" w14:textId="50158993" w:rsidR="00F26A65" w:rsidRPr="008E0EF6" w:rsidRDefault="00F26A65" w:rsidP="00F26A65">
            <w:pPr>
              <w:spacing w:line="240" w:lineRule="auto"/>
              <w:ind w:right="-95"/>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2,29</w:t>
            </w:r>
          </w:p>
        </w:tc>
        <w:tc>
          <w:tcPr>
            <w:tcW w:w="570" w:type="dxa"/>
            <w:shd w:val="clear" w:color="auto" w:fill="FFFFFF"/>
          </w:tcPr>
          <w:p w14:paraId="24138DEC" w14:textId="654BAA10" w:rsidR="00F26A65" w:rsidRPr="008E0EF6" w:rsidRDefault="00F26A65" w:rsidP="00F26A65">
            <w:pPr>
              <w:spacing w:line="240" w:lineRule="auto"/>
              <w:ind w:right="-94"/>
              <w:jc w:val="center"/>
              <w:rPr>
                <w:rFonts w:ascii="Times New Roman" w:hAnsi="Times New Roman"/>
                <w:b/>
                <w:color w:val="000000"/>
                <w:sz w:val="18"/>
                <w:szCs w:val="18"/>
              </w:rPr>
            </w:pPr>
            <w:r>
              <w:rPr>
                <w:rFonts w:ascii="Times New Roman" w:eastAsia="Times New Roman" w:hAnsi="Times New Roman"/>
                <w:b/>
                <w:bCs/>
                <w:color w:val="000000"/>
                <w:sz w:val="18"/>
                <w:szCs w:val="18"/>
                <w:lang w:eastAsia="pl-PL"/>
              </w:rPr>
              <w:t>-</w:t>
            </w:r>
            <w:r w:rsidRPr="00750A9C">
              <w:rPr>
                <w:rFonts w:ascii="Times New Roman" w:eastAsia="Times New Roman" w:hAnsi="Times New Roman"/>
                <w:b/>
                <w:bCs/>
                <w:color w:val="000000"/>
                <w:sz w:val="18"/>
                <w:szCs w:val="18"/>
                <w:lang w:eastAsia="pl-PL"/>
              </w:rPr>
              <w:t>2,31</w:t>
            </w:r>
          </w:p>
        </w:tc>
        <w:tc>
          <w:tcPr>
            <w:tcW w:w="1548" w:type="dxa"/>
            <w:gridSpan w:val="3"/>
            <w:shd w:val="clear" w:color="auto" w:fill="FFFFFF"/>
          </w:tcPr>
          <w:p w14:paraId="1D385D2B" w14:textId="1482E7D2" w:rsidR="00F26A65" w:rsidRPr="008E0EF6" w:rsidRDefault="00F26A65" w:rsidP="00F26A65">
            <w:pPr>
              <w:spacing w:line="240" w:lineRule="auto"/>
              <w:jc w:val="right"/>
              <w:rPr>
                <w:rFonts w:ascii="Times New Roman" w:hAnsi="Times New Roman"/>
                <w:b/>
                <w:color w:val="000000"/>
                <w:sz w:val="18"/>
                <w:szCs w:val="18"/>
              </w:rPr>
            </w:pPr>
            <w:r>
              <w:rPr>
                <w:rFonts w:ascii="Times New Roman" w:hAnsi="Times New Roman"/>
                <w:b/>
                <w:color w:val="000000"/>
                <w:sz w:val="18"/>
                <w:szCs w:val="18"/>
              </w:rPr>
              <w:t>-24,77</w:t>
            </w:r>
          </w:p>
        </w:tc>
      </w:tr>
      <w:tr w:rsidR="00F26A65" w:rsidRPr="00687093" w14:paraId="685054F4" w14:textId="77777777" w:rsidTr="008B0DAC">
        <w:trPr>
          <w:trHeight w:val="360"/>
        </w:trPr>
        <w:tc>
          <w:tcPr>
            <w:tcW w:w="3132" w:type="dxa"/>
            <w:gridSpan w:val="4"/>
            <w:shd w:val="clear" w:color="auto" w:fill="FFFFFF"/>
            <w:vAlign w:val="center"/>
          </w:tcPr>
          <w:p w14:paraId="3DB1559C" w14:textId="77777777" w:rsidR="00F26A65" w:rsidRPr="00687093" w:rsidRDefault="00F26A65" w:rsidP="00F26A65">
            <w:pPr>
              <w:spacing w:line="240" w:lineRule="auto"/>
              <w:rPr>
                <w:rFonts w:ascii="Times New Roman" w:hAnsi="Times New Roman"/>
                <w:color w:val="000000"/>
              </w:rPr>
            </w:pPr>
            <w:r w:rsidRPr="00687093">
              <w:rPr>
                <w:rFonts w:ascii="Times New Roman" w:hAnsi="Times New Roman"/>
                <w:color w:val="000000"/>
              </w:rPr>
              <w:t>budżet państwa</w:t>
            </w:r>
          </w:p>
        </w:tc>
        <w:tc>
          <w:tcPr>
            <w:tcW w:w="569" w:type="dxa"/>
            <w:gridSpan w:val="2"/>
            <w:shd w:val="clear" w:color="auto" w:fill="FFFFFF"/>
          </w:tcPr>
          <w:p w14:paraId="572E21F4" w14:textId="18C4349D" w:rsidR="00F26A65" w:rsidRPr="00E273DC" w:rsidRDefault="00F26A65" w:rsidP="00F26A65">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1FD97724" w14:textId="76478CFC" w:rsidR="00F26A65" w:rsidRPr="009E525D" w:rsidRDefault="00F26A65" w:rsidP="00F26A65">
            <w:pPr>
              <w:spacing w:line="240" w:lineRule="auto"/>
              <w:ind w:left="-96" w:right="-119"/>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2,8</w:t>
            </w:r>
            <w:r>
              <w:rPr>
                <w:rFonts w:ascii="Times New Roman" w:eastAsia="Times New Roman" w:hAnsi="Times New Roman"/>
                <w:color w:val="000000"/>
                <w:sz w:val="18"/>
                <w:szCs w:val="18"/>
                <w:lang w:eastAsia="pl-PL"/>
              </w:rPr>
              <w:t>3</w:t>
            </w:r>
          </w:p>
        </w:tc>
        <w:tc>
          <w:tcPr>
            <w:tcW w:w="570" w:type="dxa"/>
            <w:gridSpan w:val="2"/>
            <w:shd w:val="clear" w:color="auto" w:fill="FFFFFF"/>
          </w:tcPr>
          <w:p w14:paraId="74BC7053" w14:textId="00FB801C" w:rsidR="00F26A65" w:rsidRPr="009E525D" w:rsidRDefault="00F26A65" w:rsidP="00F26A65">
            <w:pPr>
              <w:spacing w:line="240" w:lineRule="auto"/>
              <w:ind w:right="-118"/>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1,89</w:t>
            </w:r>
          </w:p>
        </w:tc>
        <w:tc>
          <w:tcPr>
            <w:tcW w:w="569" w:type="dxa"/>
            <w:gridSpan w:val="3"/>
            <w:shd w:val="clear" w:color="auto" w:fill="FFFFFF"/>
          </w:tcPr>
          <w:p w14:paraId="7C2E0E98" w14:textId="65698109" w:rsidR="00F26A65" w:rsidRPr="009E525D" w:rsidRDefault="00F26A65" w:rsidP="00F26A65">
            <w:pPr>
              <w:spacing w:line="240" w:lineRule="auto"/>
              <w:ind w:right="-117"/>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1,94</w:t>
            </w:r>
          </w:p>
        </w:tc>
        <w:tc>
          <w:tcPr>
            <w:tcW w:w="570" w:type="dxa"/>
            <w:gridSpan w:val="2"/>
            <w:shd w:val="clear" w:color="auto" w:fill="FFFFFF"/>
          </w:tcPr>
          <w:p w14:paraId="0DF2D389" w14:textId="51C16719" w:rsidR="00F26A65" w:rsidRPr="009E525D" w:rsidRDefault="00F26A65" w:rsidP="00F26A65">
            <w:pPr>
              <w:spacing w:line="240" w:lineRule="auto"/>
              <w:ind w:right="-108"/>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1,99</w:t>
            </w:r>
          </w:p>
        </w:tc>
        <w:tc>
          <w:tcPr>
            <w:tcW w:w="570" w:type="dxa"/>
            <w:shd w:val="clear" w:color="auto" w:fill="FFFFFF"/>
          </w:tcPr>
          <w:p w14:paraId="37A9DB0E" w14:textId="21320BA5" w:rsidR="00F26A65" w:rsidRPr="009E525D" w:rsidRDefault="00F26A65" w:rsidP="00F26A65">
            <w:pPr>
              <w:spacing w:line="240" w:lineRule="auto"/>
              <w:ind w:right="-107"/>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-3.09</w:t>
            </w:r>
          </w:p>
        </w:tc>
        <w:tc>
          <w:tcPr>
            <w:tcW w:w="570" w:type="dxa"/>
            <w:gridSpan w:val="3"/>
            <w:shd w:val="clear" w:color="auto" w:fill="FFFFFF"/>
          </w:tcPr>
          <w:p w14:paraId="0A4568FA" w14:textId="3F0D825E" w:rsidR="00F26A65" w:rsidRPr="009E525D" w:rsidRDefault="00F26A65" w:rsidP="00F26A65">
            <w:pPr>
              <w:spacing w:line="240" w:lineRule="auto"/>
              <w:ind w:right="-106"/>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69" w:type="dxa"/>
            <w:gridSpan w:val="4"/>
            <w:shd w:val="clear" w:color="auto" w:fill="FFFFFF"/>
          </w:tcPr>
          <w:p w14:paraId="23D8FDD6" w14:textId="6D5DD152" w:rsidR="00F26A65" w:rsidRPr="009E525D" w:rsidRDefault="00F26A65" w:rsidP="00F26A65">
            <w:pPr>
              <w:spacing w:line="240" w:lineRule="auto"/>
              <w:ind w:right="-105"/>
              <w:jc w:val="center"/>
              <w:rPr>
                <w:rFonts w:ascii="Times New Roman" w:hAnsi="Times New Roman"/>
                <w:color w:val="000000"/>
                <w:sz w:val="18"/>
                <w:szCs w:val="18"/>
              </w:rPr>
            </w:pPr>
            <w:r>
              <w:rPr>
                <w:rFonts w:ascii="Times New Roman" w:eastAsia="Times New Roman" w:hAnsi="Times New Roman"/>
                <w:color w:val="000000"/>
                <w:sz w:val="18"/>
                <w:szCs w:val="18"/>
                <w:lang w:eastAsia="pl-PL"/>
              </w:rPr>
              <w:t>-3,12</w:t>
            </w:r>
          </w:p>
        </w:tc>
        <w:tc>
          <w:tcPr>
            <w:tcW w:w="570" w:type="dxa"/>
            <w:shd w:val="clear" w:color="auto" w:fill="FFFFFF"/>
          </w:tcPr>
          <w:p w14:paraId="568ECB5D" w14:textId="626AEE94" w:rsidR="00F26A65" w:rsidRPr="009E525D" w:rsidRDefault="00F26A65" w:rsidP="00F26A65">
            <w:pPr>
              <w:spacing w:line="240" w:lineRule="auto"/>
              <w:ind w:hanging="111"/>
              <w:jc w:val="right"/>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2,20</w:t>
            </w:r>
          </w:p>
        </w:tc>
        <w:tc>
          <w:tcPr>
            <w:tcW w:w="570" w:type="dxa"/>
            <w:gridSpan w:val="2"/>
            <w:shd w:val="clear" w:color="auto" w:fill="FFFFFF"/>
          </w:tcPr>
          <w:p w14:paraId="3F1C99B5" w14:textId="77E24351" w:rsidR="00F26A65" w:rsidRPr="009E525D" w:rsidRDefault="00F26A65" w:rsidP="00F26A65">
            <w:pPr>
              <w:spacing w:line="240" w:lineRule="auto"/>
              <w:ind w:right="-95"/>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2,29</w:t>
            </w:r>
          </w:p>
        </w:tc>
        <w:tc>
          <w:tcPr>
            <w:tcW w:w="570" w:type="dxa"/>
            <w:shd w:val="clear" w:color="auto" w:fill="FFFFFF"/>
          </w:tcPr>
          <w:p w14:paraId="4741964F" w14:textId="56151590" w:rsidR="00F26A65" w:rsidRPr="009E525D" w:rsidRDefault="00F26A65" w:rsidP="00F26A65">
            <w:pPr>
              <w:spacing w:line="240" w:lineRule="auto"/>
              <w:ind w:right="-94"/>
              <w:jc w:val="center"/>
              <w:rPr>
                <w:rFonts w:ascii="Times New Roman" w:hAnsi="Times New Roman"/>
                <w:color w:val="000000"/>
                <w:sz w:val="18"/>
                <w:szCs w:val="18"/>
              </w:rPr>
            </w:pPr>
            <w:r w:rsidRPr="009E525D">
              <w:rPr>
                <w:rFonts w:ascii="Times New Roman" w:eastAsia="Times New Roman" w:hAnsi="Times New Roman"/>
                <w:color w:val="000000"/>
                <w:sz w:val="18"/>
                <w:szCs w:val="18"/>
                <w:lang w:eastAsia="pl-PL"/>
              </w:rPr>
              <w:t>-</w:t>
            </w:r>
            <w:r w:rsidRPr="00750A9C">
              <w:rPr>
                <w:rFonts w:ascii="Times New Roman" w:eastAsia="Times New Roman" w:hAnsi="Times New Roman"/>
                <w:color w:val="000000"/>
                <w:sz w:val="18"/>
                <w:szCs w:val="18"/>
                <w:lang w:eastAsia="pl-PL"/>
              </w:rPr>
              <w:t>2,31</w:t>
            </w:r>
          </w:p>
        </w:tc>
        <w:tc>
          <w:tcPr>
            <w:tcW w:w="1548" w:type="dxa"/>
            <w:gridSpan w:val="3"/>
            <w:shd w:val="clear" w:color="auto" w:fill="FFFFFF"/>
          </w:tcPr>
          <w:p w14:paraId="3A304192" w14:textId="032086AA" w:rsidR="00F26A65" w:rsidRPr="008E0EF6" w:rsidRDefault="00F26A65" w:rsidP="00F26A65">
            <w:pPr>
              <w:spacing w:line="240" w:lineRule="auto"/>
              <w:jc w:val="right"/>
              <w:rPr>
                <w:rFonts w:ascii="Times New Roman" w:hAnsi="Times New Roman"/>
                <w:b/>
                <w:color w:val="000000"/>
                <w:sz w:val="18"/>
                <w:szCs w:val="18"/>
              </w:rPr>
            </w:pPr>
            <w:r>
              <w:rPr>
                <w:rFonts w:ascii="Times New Roman" w:hAnsi="Times New Roman"/>
                <w:bCs/>
                <w:color w:val="000000"/>
                <w:sz w:val="18"/>
                <w:szCs w:val="18"/>
              </w:rPr>
              <w:t>-24,77</w:t>
            </w:r>
          </w:p>
        </w:tc>
      </w:tr>
      <w:tr w:rsidR="008B2187" w:rsidRPr="00687093" w14:paraId="15B5CCE0" w14:textId="77777777" w:rsidTr="008B0DAC">
        <w:trPr>
          <w:trHeight w:val="357"/>
        </w:trPr>
        <w:tc>
          <w:tcPr>
            <w:tcW w:w="3132" w:type="dxa"/>
            <w:gridSpan w:val="4"/>
            <w:shd w:val="clear" w:color="auto" w:fill="FFFFFF"/>
            <w:vAlign w:val="center"/>
          </w:tcPr>
          <w:p w14:paraId="6CD80974"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JST</w:t>
            </w:r>
          </w:p>
        </w:tc>
        <w:tc>
          <w:tcPr>
            <w:tcW w:w="569" w:type="dxa"/>
            <w:gridSpan w:val="2"/>
            <w:shd w:val="clear" w:color="auto" w:fill="FFFFFF"/>
          </w:tcPr>
          <w:p w14:paraId="36EF87CD" w14:textId="70B37B4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1E39833D" w14:textId="477C558E"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1F6C84BE" w14:textId="07EB0893"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69" w:type="dxa"/>
            <w:gridSpan w:val="3"/>
            <w:shd w:val="clear" w:color="auto" w:fill="FFFFFF"/>
          </w:tcPr>
          <w:p w14:paraId="212D2EBD" w14:textId="5EB496AA"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5D66C799" w14:textId="5104D87D"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4B042899" w14:textId="41F2205B"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3"/>
            <w:shd w:val="clear" w:color="auto" w:fill="FFFFFF"/>
          </w:tcPr>
          <w:p w14:paraId="7996649F" w14:textId="00D020F3"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69" w:type="dxa"/>
            <w:gridSpan w:val="4"/>
            <w:shd w:val="clear" w:color="auto" w:fill="FFFFFF"/>
          </w:tcPr>
          <w:p w14:paraId="199F2F4F" w14:textId="4B8CAE3E"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0AE6B3CF" w14:textId="6E6D3E0F"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gridSpan w:val="2"/>
            <w:shd w:val="clear" w:color="auto" w:fill="FFFFFF"/>
          </w:tcPr>
          <w:p w14:paraId="4F8CB1F6" w14:textId="6FF2C8B9"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570" w:type="dxa"/>
            <w:shd w:val="clear" w:color="auto" w:fill="FFFFFF"/>
          </w:tcPr>
          <w:p w14:paraId="6394192F" w14:textId="500B4409"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548" w:type="dxa"/>
            <w:gridSpan w:val="3"/>
            <w:shd w:val="clear" w:color="auto" w:fill="FFFFFF"/>
          </w:tcPr>
          <w:p w14:paraId="439712B7" w14:textId="5B3DFD96" w:rsidR="008B2187" w:rsidRPr="00E273DC" w:rsidRDefault="008B2187" w:rsidP="008B2187">
            <w:pPr>
              <w:spacing w:line="240" w:lineRule="auto"/>
              <w:jc w:val="right"/>
              <w:rPr>
                <w:rFonts w:ascii="Times New Roman" w:hAnsi="Times New Roman"/>
                <w:color w:val="000000"/>
                <w:sz w:val="18"/>
                <w:szCs w:val="18"/>
              </w:rPr>
            </w:pPr>
            <w:r>
              <w:rPr>
                <w:rFonts w:ascii="Times New Roman" w:hAnsi="Times New Roman"/>
                <w:color w:val="000000"/>
                <w:sz w:val="18"/>
                <w:szCs w:val="18"/>
              </w:rPr>
              <w:t>0</w:t>
            </w:r>
          </w:p>
        </w:tc>
      </w:tr>
      <w:tr w:rsidR="008B2187" w:rsidRPr="00687093" w14:paraId="050E2F6B" w14:textId="77777777" w:rsidTr="008B0DAC">
        <w:trPr>
          <w:trHeight w:val="357"/>
        </w:trPr>
        <w:tc>
          <w:tcPr>
            <w:tcW w:w="3132" w:type="dxa"/>
            <w:gridSpan w:val="4"/>
            <w:shd w:val="clear" w:color="auto" w:fill="FFFFFF"/>
            <w:vAlign w:val="center"/>
          </w:tcPr>
          <w:p w14:paraId="7A81716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pozostałe jednostki (oddzielnie)</w:t>
            </w:r>
          </w:p>
        </w:tc>
        <w:tc>
          <w:tcPr>
            <w:tcW w:w="569" w:type="dxa"/>
            <w:gridSpan w:val="2"/>
            <w:shd w:val="clear" w:color="auto" w:fill="FFFFFF"/>
          </w:tcPr>
          <w:p w14:paraId="52E8A049" w14:textId="7C3EA9C6"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4159F3F3" w14:textId="0B03FA95"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2F08C8B" w14:textId="32B0DE1A"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3"/>
            <w:shd w:val="clear" w:color="auto" w:fill="FFFFFF"/>
          </w:tcPr>
          <w:p w14:paraId="514C6D1D" w14:textId="46455939"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7C02C959" w14:textId="6D7CA803"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11F3570B" w14:textId="62465FCB"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3"/>
            <w:shd w:val="clear" w:color="auto" w:fill="FFFFFF"/>
          </w:tcPr>
          <w:p w14:paraId="3F5EF047" w14:textId="40D5CD61"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69" w:type="dxa"/>
            <w:gridSpan w:val="4"/>
            <w:shd w:val="clear" w:color="auto" w:fill="FFFFFF"/>
          </w:tcPr>
          <w:p w14:paraId="38349EDF" w14:textId="6534EBE3"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55BFAB00" w14:textId="3A4A41A6"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gridSpan w:val="2"/>
            <w:shd w:val="clear" w:color="auto" w:fill="FFFFFF"/>
          </w:tcPr>
          <w:p w14:paraId="350FFE9C" w14:textId="4DC5638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570" w:type="dxa"/>
            <w:shd w:val="clear" w:color="auto" w:fill="FFFFFF"/>
          </w:tcPr>
          <w:p w14:paraId="41A777D2" w14:textId="288742C7"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c>
          <w:tcPr>
            <w:tcW w:w="1548" w:type="dxa"/>
            <w:gridSpan w:val="3"/>
            <w:shd w:val="clear" w:color="auto" w:fill="FFFFFF"/>
          </w:tcPr>
          <w:p w14:paraId="50AC8243" w14:textId="681989E2" w:rsidR="008B2187" w:rsidRPr="00E273DC" w:rsidRDefault="008B2187" w:rsidP="008B2187">
            <w:pPr>
              <w:spacing w:line="240" w:lineRule="auto"/>
              <w:jc w:val="right"/>
              <w:rPr>
                <w:rFonts w:ascii="Times New Roman" w:hAnsi="Times New Roman"/>
                <w:color w:val="000000"/>
                <w:sz w:val="18"/>
                <w:szCs w:val="18"/>
              </w:rPr>
            </w:pPr>
            <w:r w:rsidRPr="00E273DC">
              <w:rPr>
                <w:rFonts w:ascii="Times New Roman" w:hAnsi="Times New Roman"/>
                <w:color w:val="000000"/>
                <w:sz w:val="18"/>
                <w:szCs w:val="18"/>
              </w:rPr>
              <w:t>0</w:t>
            </w:r>
          </w:p>
        </w:tc>
      </w:tr>
      <w:tr w:rsidR="008B2187" w:rsidRPr="00687093" w14:paraId="7581D122" w14:textId="77777777" w:rsidTr="008B0DAC">
        <w:trPr>
          <w:gridAfter w:val="1"/>
          <w:wAfter w:w="10" w:type="dxa"/>
          <w:trHeight w:val="348"/>
        </w:trPr>
        <w:tc>
          <w:tcPr>
            <w:tcW w:w="2242" w:type="dxa"/>
            <w:gridSpan w:val="2"/>
            <w:shd w:val="clear" w:color="auto" w:fill="FFFFFF"/>
            <w:vAlign w:val="center"/>
          </w:tcPr>
          <w:p w14:paraId="0C3DBEA4"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 xml:space="preserve">Źródła finansowania </w:t>
            </w:r>
          </w:p>
        </w:tc>
        <w:tc>
          <w:tcPr>
            <w:tcW w:w="8695" w:type="dxa"/>
            <w:gridSpan w:val="27"/>
            <w:shd w:val="clear" w:color="auto" w:fill="FFFFFF"/>
            <w:vAlign w:val="center"/>
          </w:tcPr>
          <w:p w14:paraId="37C757D8" w14:textId="14F99463" w:rsidR="008B2187" w:rsidRPr="00687093" w:rsidRDefault="008B2187" w:rsidP="009E525D">
            <w:pPr>
              <w:autoSpaceDE w:val="0"/>
              <w:autoSpaceDN w:val="0"/>
              <w:adjustRightInd w:val="0"/>
              <w:spacing w:after="120" w:line="240" w:lineRule="auto"/>
              <w:jc w:val="both"/>
              <w:rPr>
                <w:rFonts w:ascii="Times New Roman" w:hAnsi="Times New Roman"/>
                <w:color w:val="000000"/>
              </w:rPr>
            </w:pPr>
            <w:r w:rsidRPr="00E273DC">
              <w:rPr>
                <w:rFonts w:ascii="Times New Roman" w:hAnsi="Times New Roman"/>
                <w:sz w:val="21"/>
                <w:szCs w:val="21"/>
              </w:rPr>
              <w:t xml:space="preserve">Planowane koszty będą pokrywane w ramach </w:t>
            </w:r>
            <w:r>
              <w:rPr>
                <w:rFonts w:ascii="Times New Roman" w:hAnsi="Times New Roman"/>
                <w:sz w:val="21"/>
                <w:szCs w:val="21"/>
              </w:rPr>
              <w:t xml:space="preserve">podniesienia </w:t>
            </w:r>
            <w:r w:rsidRPr="00E273DC">
              <w:rPr>
                <w:rFonts w:ascii="Times New Roman" w:hAnsi="Times New Roman"/>
                <w:sz w:val="21"/>
                <w:szCs w:val="21"/>
              </w:rPr>
              <w:t>limitu wydatków odpowiednich części budżetu państwa</w:t>
            </w:r>
            <w:r>
              <w:rPr>
                <w:rFonts w:ascii="Times New Roman" w:hAnsi="Times New Roman"/>
                <w:sz w:val="21"/>
                <w:szCs w:val="21"/>
              </w:rPr>
              <w:t xml:space="preserve"> w </w:t>
            </w:r>
            <w:r w:rsidRPr="00E273DC">
              <w:rPr>
                <w:rFonts w:ascii="Times New Roman" w:hAnsi="Times New Roman"/>
                <w:sz w:val="21"/>
                <w:szCs w:val="21"/>
              </w:rPr>
              <w:t>części budżetowe</w:t>
            </w:r>
            <w:r>
              <w:rPr>
                <w:rFonts w:ascii="Times New Roman" w:hAnsi="Times New Roman"/>
                <w:sz w:val="21"/>
                <w:szCs w:val="21"/>
              </w:rPr>
              <w:t>j</w:t>
            </w:r>
            <w:r w:rsidRPr="00E273DC">
              <w:rPr>
                <w:rFonts w:ascii="Times New Roman" w:hAnsi="Times New Roman"/>
                <w:sz w:val="21"/>
                <w:szCs w:val="21"/>
              </w:rPr>
              <w:t xml:space="preserve"> 50 (dysponent URE)</w:t>
            </w:r>
            <w:r>
              <w:rPr>
                <w:rFonts w:ascii="Times New Roman" w:hAnsi="Times New Roman"/>
                <w:sz w:val="21"/>
                <w:szCs w:val="21"/>
              </w:rPr>
              <w:t xml:space="preserve"> oraz części budżetowej 51</w:t>
            </w:r>
            <w:r w:rsidR="009E525D">
              <w:rPr>
                <w:rFonts w:ascii="Times New Roman" w:hAnsi="Times New Roman"/>
                <w:sz w:val="21"/>
                <w:szCs w:val="21"/>
              </w:rPr>
              <w:t xml:space="preserve"> – klimat</w:t>
            </w:r>
            <w:r w:rsidR="004C0172">
              <w:rPr>
                <w:rFonts w:ascii="Times New Roman" w:hAnsi="Times New Roman"/>
                <w:sz w:val="21"/>
                <w:szCs w:val="21"/>
              </w:rPr>
              <w:t xml:space="preserve"> </w:t>
            </w:r>
            <w:r>
              <w:rPr>
                <w:rFonts w:ascii="Times New Roman" w:hAnsi="Times New Roman"/>
                <w:sz w:val="21"/>
                <w:szCs w:val="21"/>
              </w:rPr>
              <w:t>(dysponent Minister Klimatu i Środowiska)</w:t>
            </w:r>
          </w:p>
        </w:tc>
      </w:tr>
      <w:tr w:rsidR="008B2187" w:rsidRPr="00687093" w14:paraId="7282EDFF" w14:textId="77777777" w:rsidTr="000F09A5">
        <w:trPr>
          <w:gridAfter w:val="1"/>
          <w:wAfter w:w="10" w:type="dxa"/>
          <w:trHeight w:val="1697"/>
        </w:trPr>
        <w:tc>
          <w:tcPr>
            <w:tcW w:w="2242" w:type="dxa"/>
            <w:gridSpan w:val="2"/>
            <w:shd w:val="clear" w:color="auto" w:fill="FFFFFF"/>
          </w:tcPr>
          <w:p w14:paraId="1040F32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Dodatkowe informacje, w tym wskazanie źródeł danych i przyjętych do obliczeń założeń</w:t>
            </w:r>
          </w:p>
        </w:tc>
        <w:tc>
          <w:tcPr>
            <w:tcW w:w="8695" w:type="dxa"/>
            <w:gridSpan w:val="27"/>
            <w:shd w:val="clear" w:color="auto" w:fill="FFFFFF"/>
          </w:tcPr>
          <w:p w14:paraId="59EEAF1B" w14:textId="61334008" w:rsidR="008B2187" w:rsidRPr="00103391" w:rsidRDefault="008B2187" w:rsidP="00103391">
            <w:pPr>
              <w:tabs>
                <w:tab w:val="left" w:pos="234"/>
              </w:tabs>
              <w:spacing w:line="240" w:lineRule="auto"/>
              <w:jc w:val="both"/>
              <w:rPr>
                <w:rFonts w:ascii="Times New Roman" w:hAnsi="Times New Roman"/>
                <w:b/>
                <w:color w:val="000000"/>
                <w:sz w:val="24"/>
                <w:szCs w:val="24"/>
                <w:u w:val="single"/>
              </w:rPr>
            </w:pPr>
            <w:r w:rsidRPr="004B458B">
              <w:rPr>
                <w:rFonts w:ascii="Times New Roman" w:hAnsi="Times New Roman"/>
                <w:b/>
                <w:color w:val="000000"/>
                <w:sz w:val="24"/>
                <w:szCs w:val="24"/>
                <w:highlight w:val="lightGray"/>
                <w:u w:val="single"/>
              </w:rPr>
              <w:t>Wpływ na budżet państwa</w:t>
            </w:r>
          </w:p>
          <w:p w14:paraId="351CBF40" w14:textId="1891DCA1" w:rsidR="008B2187" w:rsidRDefault="008B2187" w:rsidP="006E6366">
            <w:pPr>
              <w:spacing w:after="120" w:line="240" w:lineRule="auto"/>
              <w:jc w:val="both"/>
              <w:rPr>
                <w:rFonts w:ascii="Times New Roman" w:hAnsi="Times New Roman"/>
                <w:color w:val="000000"/>
              </w:rPr>
            </w:pPr>
            <w:r w:rsidRPr="00687093">
              <w:rPr>
                <w:rFonts w:ascii="Times New Roman" w:hAnsi="Times New Roman"/>
                <w:color w:val="000000"/>
              </w:rPr>
              <w:t xml:space="preserve">Projekt ustawy nakłada dodatkowe obowiązki na Prezesa URE w kilku obszarach, które zostały </w:t>
            </w:r>
            <w:r>
              <w:rPr>
                <w:rFonts w:ascii="Times New Roman" w:hAnsi="Times New Roman"/>
                <w:color w:val="000000"/>
              </w:rPr>
              <w:t>oszacowane</w:t>
            </w:r>
            <w:r w:rsidRPr="00687093">
              <w:rPr>
                <w:rFonts w:ascii="Times New Roman" w:hAnsi="Times New Roman"/>
                <w:color w:val="000000"/>
              </w:rPr>
              <w:t xml:space="preserve"> w zakresie wpływu regulacji na sektor finansów publicznych</w:t>
            </w:r>
            <w:r>
              <w:rPr>
                <w:rFonts w:ascii="Times New Roman" w:hAnsi="Times New Roman"/>
                <w:color w:val="000000"/>
              </w:rPr>
              <w:t xml:space="preserve"> (tabela powyżej)</w:t>
            </w:r>
            <w:r w:rsidRPr="00687093">
              <w:rPr>
                <w:rFonts w:ascii="Times New Roman" w:hAnsi="Times New Roman"/>
                <w:color w:val="000000"/>
              </w:rPr>
              <w:t>.</w:t>
            </w:r>
            <w:r>
              <w:rPr>
                <w:rFonts w:ascii="Times New Roman" w:hAnsi="Times New Roman"/>
                <w:color w:val="000000"/>
              </w:rPr>
              <w:t xml:space="preserve"> Wydatki zostały oszacowane w oparciu o dotychczasowe doświadczenie i wiedzę w zakresie kosztów osobowych oraz biorąc pod uwagę zakres i specyfikę nałożonych zadań na Prezesa URE.</w:t>
            </w:r>
          </w:p>
          <w:p w14:paraId="15CBA1D1" w14:textId="3AEDB810" w:rsidR="008B2187" w:rsidRDefault="00103391" w:rsidP="00301C67">
            <w:pPr>
              <w:spacing w:after="120" w:line="240" w:lineRule="auto"/>
              <w:jc w:val="both"/>
              <w:rPr>
                <w:rFonts w:ascii="Times New Roman" w:hAnsi="Times New Roman"/>
                <w:color w:val="000000"/>
              </w:rPr>
            </w:pPr>
            <w:r>
              <w:rPr>
                <w:rFonts w:ascii="Times New Roman" w:hAnsi="Times New Roman"/>
                <w:color w:val="000000"/>
              </w:rPr>
              <w:t xml:space="preserve">W związku z </w:t>
            </w:r>
            <w:r w:rsidR="006E6366">
              <w:rPr>
                <w:rFonts w:ascii="Times New Roman" w:hAnsi="Times New Roman"/>
                <w:color w:val="000000"/>
              </w:rPr>
              <w:t>wprowadzeniem nowych, nierealizowanych dotąd zadań, p</w:t>
            </w:r>
            <w:r>
              <w:rPr>
                <w:rFonts w:ascii="Times New Roman" w:hAnsi="Times New Roman"/>
                <w:color w:val="000000"/>
              </w:rPr>
              <w:t xml:space="preserve">rojekt zakłada także utworzenie nowych etatów w ramach </w:t>
            </w:r>
            <w:r w:rsidR="006E6366">
              <w:rPr>
                <w:rFonts w:ascii="Times New Roman" w:hAnsi="Times New Roman"/>
                <w:color w:val="000000"/>
              </w:rPr>
              <w:t xml:space="preserve">struktury organizacyjnej </w:t>
            </w:r>
            <w:r>
              <w:rPr>
                <w:rFonts w:ascii="Times New Roman" w:hAnsi="Times New Roman"/>
                <w:color w:val="000000"/>
              </w:rPr>
              <w:t xml:space="preserve">Ministerstwa </w:t>
            </w:r>
            <w:r w:rsidR="006E6366">
              <w:rPr>
                <w:rFonts w:ascii="Times New Roman" w:hAnsi="Times New Roman"/>
                <w:color w:val="000000"/>
              </w:rPr>
              <w:t>Klimatu i Środowiska</w:t>
            </w:r>
            <w:r w:rsidR="006011F9">
              <w:rPr>
                <w:rFonts w:ascii="Times New Roman" w:hAnsi="Times New Roman"/>
                <w:color w:val="000000"/>
              </w:rPr>
              <w:t>.</w:t>
            </w:r>
          </w:p>
          <w:p w14:paraId="29F4B408" w14:textId="4D5B8451" w:rsidR="008B2187" w:rsidRPr="002401A0" w:rsidRDefault="00096E0C" w:rsidP="002401A0">
            <w:pPr>
              <w:spacing w:line="240" w:lineRule="auto"/>
              <w:jc w:val="both"/>
              <w:rPr>
                <w:rFonts w:ascii="Times New Roman" w:hAnsi="Times New Roman"/>
                <w:b/>
                <w:color w:val="000000"/>
                <w:u w:val="single"/>
              </w:rPr>
            </w:pPr>
            <w:r>
              <w:rPr>
                <w:rFonts w:ascii="Times New Roman" w:hAnsi="Times New Roman"/>
                <w:b/>
                <w:color w:val="000000"/>
                <w:u w:val="single"/>
              </w:rPr>
              <w:t xml:space="preserve">I. </w:t>
            </w:r>
            <w:proofErr w:type="spellStart"/>
            <w:r w:rsidR="008B2187" w:rsidRPr="002401A0">
              <w:rPr>
                <w:rFonts w:ascii="Times New Roman" w:hAnsi="Times New Roman"/>
                <w:b/>
                <w:color w:val="000000"/>
                <w:u w:val="single"/>
              </w:rPr>
              <w:t>Biometan</w:t>
            </w:r>
            <w:proofErr w:type="spellEnd"/>
            <w:r w:rsidR="008B2187" w:rsidRPr="002401A0">
              <w:rPr>
                <w:rFonts w:ascii="Times New Roman" w:hAnsi="Times New Roman"/>
                <w:b/>
                <w:color w:val="000000"/>
                <w:u w:val="single"/>
              </w:rPr>
              <w:t xml:space="preserve"> </w:t>
            </w:r>
          </w:p>
          <w:p w14:paraId="307955ED" w14:textId="33D9BD30" w:rsidR="008B2187" w:rsidRDefault="008B2187" w:rsidP="008B2187">
            <w:pPr>
              <w:spacing w:after="120" w:line="240" w:lineRule="auto"/>
              <w:jc w:val="both"/>
              <w:rPr>
                <w:rFonts w:ascii="Times New Roman" w:hAnsi="Times New Roman"/>
                <w:color w:val="000000"/>
              </w:rPr>
            </w:pPr>
            <w:r w:rsidRPr="008200A6">
              <w:rPr>
                <w:rFonts w:ascii="Times New Roman" w:hAnsi="Times New Roman"/>
                <w:color w:val="000000"/>
              </w:rPr>
              <w:t xml:space="preserve">Obszar </w:t>
            </w:r>
            <w:r w:rsidR="00102839" w:rsidRPr="008200A6">
              <w:rPr>
                <w:rFonts w:ascii="Times New Roman" w:hAnsi="Times New Roman"/>
                <w:color w:val="000000"/>
              </w:rPr>
              <w:t>ten</w:t>
            </w:r>
            <w:r w:rsidR="00102839" w:rsidRPr="00687093">
              <w:rPr>
                <w:rFonts w:ascii="Times New Roman" w:hAnsi="Times New Roman"/>
                <w:b/>
                <w:color w:val="000000"/>
              </w:rPr>
              <w:t xml:space="preserve"> </w:t>
            </w:r>
            <w:r w:rsidRPr="00687093">
              <w:rPr>
                <w:rFonts w:ascii="Times New Roman" w:hAnsi="Times New Roman"/>
                <w:color w:val="000000"/>
              </w:rPr>
              <w:t xml:space="preserve">obejmuje konieczność rozbudowy oraz zapewnienia funkcjonowania rejestru wytwórców biogazu. Realizacja tego zadania będzie wymagała przygotowania </w:t>
            </w:r>
            <w:r>
              <w:rPr>
                <w:rFonts w:ascii="Times New Roman" w:hAnsi="Times New Roman"/>
                <w:color w:val="000000"/>
              </w:rPr>
              <w:t xml:space="preserve">odpowiedniej </w:t>
            </w:r>
            <w:r w:rsidRPr="00687093">
              <w:rPr>
                <w:rFonts w:ascii="Times New Roman" w:hAnsi="Times New Roman"/>
                <w:color w:val="000000"/>
              </w:rPr>
              <w:t xml:space="preserve">infrastruktury URE oraz zatrudnienia </w:t>
            </w:r>
            <w:r w:rsidR="008200A6">
              <w:rPr>
                <w:rFonts w:ascii="Times New Roman" w:hAnsi="Times New Roman"/>
                <w:color w:val="000000"/>
              </w:rPr>
              <w:t xml:space="preserve">dodatkowego </w:t>
            </w:r>
            <w:r w:rsidR="008E0EF6">
              <w:rPr>
                <w:rFonts w:ascii="Times New Roman" w:hAnsi="Times New Roman"/>
                <w:color w:val="000000"/>
              </w:rPr>
              <w:t xml:space="preserve">(1) </w:t>
            </w:r>
            <w:r w:rsidR="008200A6">
              <w:rPr>
                <w:rFonts w:ascii="Times New Roman" w:hAnsi="Times New Roman"/>
                <w:color w:val="000000"/>
              </w:rPr>
              <w:t>pracownika</w:t>
            </w:r>
            <w:r w:rsidRPr="00687093">
              <w:rPr>
                <w:rFonts w:ascii="Times New Roman" w:hAnsi="Times New Roman"/>
                <w:color w:val="000000"/>
              </w:rPr>
              <w:t>.</w:t>
            </w:r>
          </w:p>
          <w:p w14:paraId="78B7B582" w14:textId="77777777" w:rsidR="008B2187" w:rsidRPr="00687093" w:rsidRDefault="008B2187" w:rsidP="008B2187">
            <w:pPr>
              <w:spacing w:line="240" w:lineRule="auto"/>
              <w:jc w:val="both"/>
              <w:rPr>
                <w:rFonts w:ascii="Times New Roman" w:hAnsi="Times New Roman"/>
                <w:color w:val="000000"/>
              </w:rPr>
            </w:pPr>
            <w:r>
              <w:rPr>
                <w:rFonts w:ascii="Times New Roman" w:hAnsi="Times New Roman"/>
                <w:color w:val="000000"/>
              </w:rPr>
              <w:t>R</w:t>
            </w:r>
            <w:r w:rsidRPr="00687093">
              <w:rPr>
                <w:rFonts w:ascii="Times New Roman" w:hAnsi="Times New Roman"/>
                <w:color w:val="000000"/>
              </w:rPr>
              <w:t>ealizowane działania będą się wiązały z dodatkowymi kosztami po stronie URE w zakresie:</w:t>
            </w:r>
          </w:p>
          <w:p w14:paraId="3229146E" w14:textId="15EBE368" w:rsidR="008B2187" w:rsidRPr="007F30C2" w:rsidRDefault="008B2187" w:rsidP="008B2187">
            <w:pPr>
              <w:spacing w:line="240" w:lineRule="auto"/>
              <w:jc w:val="both"/>
              <w:rPr>
                <w:rFonts w:ascii="Times New Roman" w:hAnsi="Times New Roman"/>
                <w:b/>
                <w:color w:val="000000"/>
              </w:rPr>
            </w:pPr>
            <w:r w:rsidRPr="007F30C2">
              <w:rPr>
                <w:rFonts w:ascii="Times New Roman" w:hAnsi="Times New Roman"/>
                <w:b/>
                <w:color w:val="000000"/>
              </w:rPr>
              <w:t>Pozycja 1</w:t>
            </w:r>
            <w:r w:rsidR="00FA3D04">
              <w:rPr>
                <w:rFonts w:ascii="Times New Roman" w:hAnsi="Times New Roman"/>
                <w:b/>
                <w:color w:val="000000"/>
              </w:rPr>
              <w:t xml:space="preserve"> – koszty infrastruktury</w:t>
            </w:r>
            <w:r w:rsidRPr="007F30C2">
              <w:rPr>
                <w:rFonts w:ascii="Times New Roman" w:hAnsi="Times New Roman"/>
                <w:b/>
                <w:color w:val="000000"/>
              </w:rPr>
              <w:t>:</w:t>
            </w:r>
          </w:p>
          <w:p w14:paraId="6516B38C" w14:textId="77777777" w:rsidR="008B2187" w:rsidRPr="00687093" w:rsidRDefault="008B2187" w:rsidP="008B2187">
            <w:pPr>
              <w:spacing w:line="240" w:lineRule="auto"/>
              <w:jc w:val="both"/>
              <w:rPr>
                <w:rFonts w:ascii="Times New Roman" w:hAnsi="Times New Roman"/>
                <w:color w:val="000000"/>
              </w:rPr>
            </w:pPr>
            <w:r w:rsidRPr="00687093">
              <w:rPr>
                <w:rFonts w:ascii="Times New Roman" w:hAnsi="Times New Roman"/>
                <w:color w:val="000000"/>
              </w:rPr>
              <w:t>- wynaj</w:t>
            </w:r>
            <w:r>
              <w:rPr>
                <w:rFonts w:ascii="Times New Roman" w:hAnsi="Times New Roman"/>
                <w:color w:val="000000"/>
              </w:rPr>
              <w:t>e</w:t>
            </w:r>
            <w:r w:rsidRPr="00687093">
              <w:rPr>
                <w:rFonts w:ascii="Times New Roman" w:hAnsi="Times New Roman"/>
                <w:color w:val="000000"/>
              </w:rPr>
              <w:t>m powierzchni biurowej, koszt</w:t>
            </w:r>
            <w:r>
              <w:rPr>
                <w:rFonts w:ascii="Times New Roman" w:hAnsi="Times New Roman"/>
                <w:color w:val="000000"/>
              </w:rPr>
              <w:t>y</w:t>
            </w:r>
            <w:r w:rsidRPr="00687093">
              <w:rPr>
                <w:rFonts w:ascii="Times New Roman" w:hAnsi="Times New Roman"/>
                <w:color w:val="000000"/>
              </w:rPr>
              <w:t xml:space="preserve"> energii elektrycznej, sprzątanie, itp.,</w:t>
            </w:r>
          </w:p>
          <w:p w14:paraId="32F2F22E" w14:textId="7FAE4480" w:rsidR="008B2187" w:rsidRDefault="008B2187" w:rsidP="008B2187">
            <w:pPr>
              <w:spacing w:line="240" w:lineRule="auto"/>
              <w:jc w:val="both"/>
              <w:rPr>
                <w:rFonts w:ascii="Times New Roman" w:hAnsi="Times New Roman"/>
                <w:color w:val="000000"/>
              </w:rPr>
            </w:pPr>
            <w:r w:rsidRPr="00687093">
              <w:rPr>
                <w:rFonts w:ascii="Times New Roman" w:hAnsi="Times New Roman"/>
                <w:color w:val="000000"/>
              </w:rPr>
              <w:t>- utworzeni</w:t>
            </w:r>
            <w:r>
              <w:rPr>
                <w:rFonts w:ascii="Times New Roman" w:hAnsi="Times New Roman"/>
                <w:color w:val="000000"/>
              </w:rPr>
              <w:t>e</w:t>
            </w:r>
            <w:r w:rsidRPr="00687093">
              <w:rPr>
                <w:rFonts w:ascii="Times New Roman" w:hAnsi="Times New Roman"/>
                <w:color w:val="000000"/>
              </w:rPr>
              <w:t xml:space="preserve"> stanowisk</w:t>
            </w:r>
            <w:r w:rsidR="00FA3D04">
              <w:rPr>
                <w:rFonts w:ascii="Times New Roman" w:hAnsi="Times New Roman"/>
                <w:color w:val="000000"/>
              </w:rPr>
              <w:t>a</w:t>
            </w:r>
            <w:r w:rsidRPr="00687093">
              <w:rPr>
                <w:rFonts w:ascii="Times New Roman" w:hAnsi="Times New Roman"/>
                <w:color w:val="000000"/>
              </w:rPr>
              <w:t xml:space="preserve"> pracy (w tym </w:t>
            </w:r>
            <w:r>
              <w:rPr>
                <w:rFonts w:ascii="Times New Roman" w:hAnsi="Times New Roman"/>
                <w:color w:val="000000"/>
              </w:rPr>
              <w:t xml:space="preserve">niezbędnej </w:t>
            </w:r>
            <w:r w:rsidRPr="00687093">
              <w:rPr>
                <w:rFonts w:ascii="Times New Roman" w:hAnsi="Times New Roman"/>
                <w:color w:val="000000"/>
              </w:rPr>
              <w:t>infrastruktury) oraz jej utrzymania (szkolenia</w:t>
            </w:r>
            <w:r>
              <w:rPr>
                <w:rFonts w:ascii="Times New Roman" w:hAnsi="Times New Roman"/>
                <w:color w:val="000000"/>
              </w:rPr>
              <w:t>, itp.</w:t>
            </w:r>
            <w:r w:rsidRPr="00687093">
              <w:rPr>
                <w:rFonts w:ascii="Times New Roman" w:hAnsi="Times New Roman"/>
                <w:color w:val="000000"/>
              </w:rPr>
              <w:t>)</w:t>
            </w:r>
            <w:r>
              <w:rPr>
                <w:rFonts w:ascii="Times New Roman" w:hAnsi="Times New Roman"/>
                <w:color w:val="000000"/>
              </w:rPr>
              <w:t>.</w:t>
            </w:r>
          </w:p>
          <w:p w14:paraId="15CA0F06" w14:textId="7090C229" w:rsidR="008B2187" w:rsidRDefault="008B2187" w:rsidP="008B2187">
            <w:pPr>
              <w:spacing w:line="240" w:lineRule="auto"/>
              <w:jc w:val="both"/>
              <w:rPr>
                <w:rFonts w:ascii="Times New Roman" w:hAnsi="Times New Roman"/>
                <w:color w:val="000000"/>
              </w:rPr>
            </w:pPr>
            <w:r w:rsidRPr="007F30C2">
              <w:rPr>
                <w:rFonts w:ascii="Times New Roman" w:hAnsi="Times New Roman"/>
                <w:b/>
                <w:color w:val="000000"/>
              </w:rPr>
              <w:t>Pozycja 2</w:t>
            </w:r>
            <w:r w:rsidR="00FA3D04">
              <w:rPr>
                <w:rFonts w:ascii="Times New Roman" w:hAnsi="Times New Roman"/>
                <w:color w:val="000000"/>
              </w:rPr>
              <w:t xml:space="preserve"> </w:t>
            </w:r>
            <w:r w:rsidR="00FA3D04" w:rsidRPr="00FA3D04">
              <w:rPr>
                <w:rFonts w:ascii="Times New Roman" w:hAnsi="Times New Roman"/>
                <w:b/>
                <w:color w:val="000000"/>
              </w:rPr>
              <w:t>– koszty osobowe:</w:t>
            </w:r>
          </w:p>
          <w:p w14:paraId="6F42B761" w14:textId="48AC6268" w:rsidR="00FA3D04" w:rsidRDefault="00FA3D04" w:rsidP="00FA3D04">
            <w:pPr>
              <w:spacing w:after="120" w:line="240" w:lineRule="auto"/>
              <w:jc w:val="both"/>
              <w:rPr>
                <w:rFonts w:ascii="Times New Roman" w:hAnsi="Times New Roman"/>
                <w:color w:val="000000"/>
              </w:rPr>
            </w:pPr>
            <w:r>
              <w:rPr>
                <w:rFonts w:ascii="Times New Roman" w:hAnsi="Times New Roman"/>
                <w:color w:val="000000"/>
              </w:rPr>
              <w:t xml:space="preserve">Zgodnie z informacjami przekazanymi przez URE, bazując na dotychczasowym doświadczeniu w zakresie obsługi prowadzenia rejestrów działalności gospodarczej niezbędne dla skutecznej realizacji nowych zadań będzie zatrudnienie dodatkowej </w:t>
            </w:r>
            <w:r w:rsidR="00D91241">
              <w:rPr>
                <w:rFonts w:ascii="Times New Roman" w:hAnsi="Times New Roman"/>
                <w:color w:val="000000"/>
              </w:rPr>
              <w:t xml:space="preserve">(1) </w:t>
            </w:r>
            <w:r>
              <w:rPr>
                <w:rFonts w:ascii="Times New Roman" w:hAnsi="Times New Roman"/>
                <w:color w:val="000000"/>
              </w:rPr>
              <w:t xml:space="preserve">osoby. </w:t>
            </w:r>
          </w:p>
          <w:p w14:paraId="7A629106" w14:textId="3737EE83" w:rsidR="008B2187" w:rsidRPr="00687093" w:rsidRDefault="004C0172" w:rsidP="008B2187">
            <w:pPr>
              <w:spacing w:line="240" w:lineRule="auto"/>
              <w:jc w:val="both"/>
              <w:rPr>
                <w:rFonts w:ascii="Times New Roman" w:hAnsi="Times New Roman"/>
                <w:color w:val="000000"/>
              </w:rPr>
            </w:pPr>
            <w:r>
              <w:rPr>
                <w:rFonts w:ascii="Times New Roman" w:hAnsi="Times New Roman"/>
                <w:color w:val="000000"/>
              </w:rPr>
              <w:t xml:space="preserve">Tabela 6. </w:t>
            </w:r>
            <w:r w:rsidR="00FA3D04" w:rsidRPr="00687093">
              <w:rPr>
                <w:rFonts w:ascii="Times New Roman" w:hAnsi="Times New Roman"/>
                <w:color w:val="000000"/>
              </w:rPr>
              <w:t xml:space="preserve">Wartość kosztów </w:t>
            </w:r>
            <w:r w:rsidR="00FA3D04">
              <w:rPr>
                <w:rFonts w:ascii="Times New Roman" w:hAnsi="Times New Roman"/>
                <w:color w:val="000000"/>
              </w:rPr>
              <w:t xml:space="preserve">dotyczących pozycji 1 i 2 </w:t>
            </w:r>
            <w:r w:rsidR="00FA3D04" w:rsidRPr="00687093">
              <w:rPr>
                <w:rFonts w:ascii="Times New Roman" w:hAnsi="Times New Roman"/>
                <w:color w:val="000000"/>
              </w:rPr>
              <w:t>w poszczególnych latach przedstawia się w sposób następujący:</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E30364" w:rsidRPr="00687093" w14:paraId="77916B4D" w14:textId="77777777" w:rsidTr="00EE776C">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045D19" w14:textId="77777777"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487468D1" w14:textId="605E090E"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4E5F783" w14:textId="128E4BDC"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5553168" w14:textId="433B98B4"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055544C" w14:textId="7800EE5E"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48FC8A4" w14:textId="56C575DF"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B111E08" w14:textId="7047D13D"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ABA0CAC" w14:textId="0E32FA37"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E84EE51" w14:textId="54B5B691"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CB74603" w14:textId="5A29C76B"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E05977D" w14:textId="0FD43F8C" w:rsidR="00E30364" w:rsidRPr="00EA3A71" w:rsidRDefault="00E30364" w:rsidP="00E30364">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8B2187" w:rsidRPr="00687093" w14:paraId="76C9BF77" w14:textId="77777777" w:rsidTr="00EE776C">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20CE6176" w14:textId="77777777" w:rsidR="008B2187" w:rsidRPr="00EA3A71" w:rsidRDefault="008B2187" w:rsidP="008B2187">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 </w:t>
                  </w: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287DA258" w14:textId="77777777" w:rsidR="008B2187" w:rsidRPr="00EA3A71" w:rsidRDefault="008B2187" w:rsidP="008B2187">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E30364" w:rsidRPr="00687093" w14:paraId="16F4F41A"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34C32C98" w14:textId="14C833A4" w:rsidR="00E30364" w:rsidRPr="00EA3A71" w:rsidRDefault="00E30364" w:rsidP="00E30364">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vAlign w:val="center"/>
                </w:tcPr>
                <w:p w14:paraId="3E92A081" w14:textId="5C969202"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40 000</w:t>
                  </w:r>
                </w:p>
              </w:tc>
              <w:tc>
                <w:tcPr>
                  <w:tcW w:w="720" w:type="dxa"/>
                  <w:tcBorders>
                    <w:top w:val="nil"/>
                    <w:left w:val="nil"/>
                    <w:bottom w:val="single" w:sz="8" w:space="0" w:color="auto"/>
                    <w:right w:val="single" w:sz="8" w:space="0" w:color="auto"/>
                  </w:tcBorders>
                  <w:shd w:val="clear" w:color="auto" w:fill="auto"/>
                  <w:noWrap/>
                  <w:vAlign w:val="center"/>
                </w:tcPr>
                <w:p w14:paraId="1A24542D" w14:textId="176C40C1"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30 000</w:t>
                  </w:r>
                </w:p>
              </w:tc>
              <w:tc>
                <w:tcPr>
                  <w:tcW w:w="720" w:type="dxa"/>
                  <w:tcBorders>
                    <w:top w:val="nil"/>
                    <w:left w:val="nil"/>
                    <w:bottom w:val="single" w:sz="8" w:space="0" w:color="auto"/>
                    <w:right w:val="single" w:sz="8" w:space="0" w:color="auto"/>
                  </w:tcBorders>
                  <w:shd w:val="clear" w:color="auto" w:fill="auto"/>
                  <w:noWrap/>
                  <w:vAlign w:val="center"/>
                </w:tcPr>
                <w:p w14:paraId="7EBDF79E" w14:textId="363A141B"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30 750</w:t>
                  </w:r>
                </w:p>
              </w:tc>
              <w:tc>
                <w:tcPr>
                  <w:tcW w:w="720" w:type="dxa"/>
                  <w:tcBorders>
                    <w:top w:val="nil"/>
                    <w:left w:val="nil"/>
                    <w:bottom w:val="single" w:sz="8" w:space="0" w:color="auto"/>
                    <w:right w:val="single" w:sz="8" w:space="0" w:color="auto"/>
                  </w:tcBorders>
                  <w:shd w:val="clear" w:color="auto" w:fill="auto"/>
                  <w:noWrap/>
                  <w:vAlign w:val="center"/>
                </w:tcPr>
                <w:p w14:paraId="58D16E38" w14:textId="6D22223A"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31 519</w:t>
                  </w:r>
                </w:p>
              </w:tc>
              <w:tc>
                <w:tcPr>
                  <w:tcW w:w="720" w:type="dxa"/>
                  <w:tcBorders>
                    <w:top w:val="nil"/>
                    <w:left w:val="nil"/>
                    <w:bottom w:val="single" w:sz="8" w:space="0" w:color="auto"/>
                    <w:right w:val="single" w:sz="8" w:space="0" w:color="auto"/>
                  </w:tcBorders>
                  <w:shd w:val="clear" w:color="auto" w:fill="auto"/>
                  <w:noWrap/>
                  <w:vAlign w:val="center"/>
                </w:tcPr>
                <w:p w14:paraId="757E4411" w14:textId="518803C7"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36 519</w:t>
                  </w:r>
                </w:p>
              </w:tc>
              <w:tc>
                <w:tcPr>
                  <w:tcW w:w="720" w:type="dxa"/>
                  <w:tcBorders>
                    <w:top w:val="nil"/>
                    <w:left w:val="nil"/>
                    <w:bottom w:val="single" w:sz="8" w:space="0" w:color="auto"/>
                    <w:right w:val="single" w:sz="8" w:space="0" w:color="auto"/>
                  </w:tcBorders>
                  <w:shd w:val="clear" w:color="auto" w:fill="auto"/>
                  <w:noWrap/>
                  <w:vAlign w:val="center"/>
                </w:tcPr>
                <w:p w14:paraId="08062555" w14:textId="6A05DB1B"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33 114</w:t>
                  </w:r>
                </w:p>
              </w:tc>
              <w:tc>
                <w:tcPr>
                  <w:tcW w:w="720" w:type="dxa"/>
                  <w:tcBorders>
                    <w:top w:val="nil"/>
                    <w:left w:val="nil"/>
                    <w:bottom w:val="single" w:sz="8" w:space="0" w:color="auto"/>
                    <w:right w:val="single" w:sz="8" w:space="0" w:color="auto"/>
                  </w:tcBorders>
                  <w:shd w:val="clear" w:color="auto" w:fill="auto"/>
                  <w:noWrap/>
                  <w:vAlign w:val="center"/>
                </w:tcPr>
                <w:p w14:paraId="6ED2E9BE" w14:textId="7DB397A3"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33 942</w:t>
                  </w:r>
                </w:p>
              </w:tc>
              <w:tc>
                <w:tcPr>
                  <w:tcW w:w="720" w:type="dxa"/>
                  <w:tcBorders>
                    <w:top w:val="nil"/>
                    <w:left w:val="nil"/>
                    <w:bottom w:val="single" w:sz="8" w:space="0" w:color="auto"/>
                    <w:right w:val="single" w:sz="8" w:space="0" w:color="auto"/>
                  </w:tcBorders>
                  <w:shd w:val="clear" w:color="auto" w:fill="auto"/>
                  <w:noWrap/>
                  <w:vAlign w:val="center"/>
                </w:tcPr>
                <w:p w14:paraId="2C5E233F" w14:textId="6DCD3994"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34 791</w:t>
                  </w:r>
                </w:p>
              </w:tc>
              <w:tc>
                <w:tcPr>
                  <w:tcW w:w="720" w:type="dxa"/>
                  <w:tcBorders>
                    <w:top w:val="nil"/>
                    <w:left w:val="nil"/>
                    <w:bottom w:val="single" w:sz="8" w:space="0" w:color="auto"/>
                    <w:right w:val="single" w:sz="8" w:space="0" w:color="auto"/>
                  </w:tcBorders>
                  <w:shd w:val="clear" w:color="auto" w:fill="auto"/>
                  <w:noWrap/>
                  <w:vAlign w:val="center"/>
                </w:tcPr>
                <w:p w14:paraId="327B003A" w14:textId="6EDB617A"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42 661</w:t>
                  </w:r>
                </w:p>
              </w:tc>
              <w:tc>
                <w:tcPr>
                  <w:tcW w:w="720" w:type="dxa"/>
                  <w:tcBorders>
                    <w:top w:val="nil"/>
                    <w:left w:val="nil"/>
                    <w:bottom w:val="single" w:sz="8" w:space="0" w:color="auto"/>
                    <w:right w:val="single" w:sz="8" w:space="0" w:color="auto"/>
                  </w:tcBorders>
                  <w:shd w:val="clear" w:color="auto" w:fill="auto"/>
                  <w:noWrap/>
                  <w:vAlign w:val="center"/>
                </w:tcPr>
                <w:p w14:paraId="33C490D4" w14:textId="71377F60" w:rsidR="00E30364" w:rsidRPr="00EA3A71" w:rsidRDefault="00E3036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36 552</w:t>
                  </w:r>
                </w:p>
              </w:tc>
            </w:tr>
            <w:tr w:rsidR="008B2187" w:rsidRPr="00687093" w14:paraId="3DBA4800" w14:textId="2011C8C5"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4E45502D" w14:textId="375CC948" w:rsidR="008B2187" w:rsidRPr="00EA3A71" w:rsidRDefault="008B2187" w:rsidP="008B2187">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vAlign w:val="center"/>
                </w:tcPr>
                <w:p w14:paraId="5421BA2B" w14:textId="7E01131C"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140 400</w:t>
                  </w:r>
                </w:p>
              </w:tc>
              <w:tc>
                <w:tcPr>
                  <w:tcW w:w="720" w:type="dxa"/>
                  <w:tcBorders>
                    <w:top w:val="nil"/>
                    <w:left w:val="nil"/>
                    <w:bottom w:val="single" w:sz="4" w:space="0" w:color="auto"/>
                    <w:right w:val="single" w:sz="8" w:space="0" w:color="auto"/>
                  </w:tcBorders>
                  <w:shd w:val="clear" w:color="auto" w:fill="auto"/>
                  <w:noWrap/>
                  <w:vAlign w:val="center"/>
                </w:tcPr>
                <w:p w14:paraId="2CEFEC13" w14:textId="60F5A9D8"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155 410</w:t>
                  </w:r>
                </w:p>
              </w:tc>
              <w:tc>
                <w:tcPr>
                  <w:tcW w:w="720" w:type="dxa"/>
                  <w:tcBorders>
                    <w:top w:val="nil"/>
                    <w:left w:val="nil"/>
                    <w:bottom w:val="single" w:sz="4" w:space="0" w:color="auto"/>
                    <w:right w:val="single" w:sz="8" w:space="0" w:color="auto"/>
                  </w:tcBorders>
                  <w:shd w:val="clear" w:color="auto" w:fill="auto"/>
                  <w:noWrap/>
                  <w:vAlign w:val="center"/>
                </w:tcPr>
                <w:p w14:paraId="0B405053" w14:textId="4B81B97B"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159 295</w:t>
                  </w:r>
                </w:p>
              </w:tc>
              <w:tc>
                <w:tcPr>
                  <w:tcW w:w="720" w:type="dxa"/>
                  <w:tcBorders>
                    <w:top w:val="nil"/>
                    <w:left w:val="nil"/>
                    <w:bottom w:val="single" w:sz="4" w:space="0" w:color="auto"/>
                    <w:right w:val="single" w:sz="8" w:space="0" w:color="auto"/>
                  </w:tcBorders>
                  <w:shd w:val="clear" w:color="auto" w:fill="auto"/>
                  <w:noWrap/>
                  <w:vAlign w:val="center"/>
                </w:tcPr>
                <w:p w14:paraId="3D563534" w14:textId="5047702E"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163 278</w:t>
                  </w:r>
                </w:p>
              </w:tc>
              <w:tc>
                <w:tcPr>
                  <w:tcW w:w="720" w:type="dxa"/>
                  <w:tcBorders>
                    <w:top w:val="nil"/>
                    <w:left w:val="nil"/>
                    <w:bottom w:val="single" w:sz="4" w:space="0" w:color="auto"/>
                    <w:right w:val="single" w:sz="8" w:space="0" w:color="auto"/>
                  </w:tcBorders>
                  <w:shd w:val="clear" w:color="auto" w:fill="auto"/>
                  <w:noWrap/>
                  <w:vAlign w:val="center"/>
                </w:tcPr>
                <w:p w14:paraId="2F43D672" w14:textId="3461187B"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167 360</w:t>
                  </w:r>
                </w:p>
              </w:tc>
              <w:tc>
                <w:tcPr>
                  <w:tcW w:w="720" w:type="dxa"/>
                  <w:tcBorders>
                    <w:top w:val="nil"/>
                    <w:left w:val="nil"/>
                    <w:bottom w:val="single" w:sz="4" w:space="0" w:color="auto"/>
                    <w:right w:val="single" w:sz="8" w:space="0" w:color="auto"/>
                  </w:tcBorders>
                  <w:shd w:val="clear" w:color="auto" w:fill="auto"/>
                  <w:noWrap/>
                  <w:vAlign w:val="center"/>
                </w:tcPr>
                <w:p w14:paraId="5886A2FD" w14:textId="6AA1E997"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171 544</w:t>
                  </w:r>
                </w:p>
              </w:tc>
              <w:tc>
                <w:tcPr>
                  <w:tcW w:w="720" w:type="dxa"/>
                  <w:tcBorders>
                    <w:top w:val="nil"/>
                    <w:left w:val="nil"/>
                    <w:bottom w:val="single" w:sz="4" w:space="0" w:color="auto"/>
                    <w:right w:val="single" w:sz="8" w:space="0" w:color="auto"/>
                  </w:tcBorders>
                  <w:shd w:val="clear" w:color="auto" w:fill="auto"/>
                  <w:noWrap/>
                  <w:vAlign w:val="center"/>
                </w:tcPr>
                <w:p w14:paraId="40279A01" w14:textId="608B3C3E"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175 832</w:t>
                  </w:r>
                </w:p>
              </w:tc>
              <w:tc>
                <w:tcPr>
                  <w:tcW w:w="720" w:type="dxa"/>
                  <w:tcBorders>
                    <w:top w:val="nil"/>
                    <w:left w:val="nil"/>
                    <w:bottom w:val="single" w:sz="4" w:space="0" w:color="auto"/>
                    <w:right w:val="single" w:sz="8" w:space="0" w:color="auto"/>
                  </w:tcBorders>
                  <w:shd w:val="clear" w:color="auto" w:fill="auto"/>
                  <w:noWrap/>
                  <w:vAlign w:val="center"/>
                </w:tcPr>
                <w:p w14:paraId="4A4BE6E3" w14:textId="5892F010"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180 228</w:t>
                  </w:r>
                </w:p>
              </w:tc>
              <w:tc>
                <w:tcPr>
                  <w:tcW w:w="720" w:type="dxa"/>
                  <w:tcBorders>
                    <w:top w:val="nil"/>
                    <w:left w:val="nil"/>
                    <w:bottom w:val="single" w:sz="4" w:space="0" w:color="auto"/>
                    <w:right w:val="single" w:sz="8" w:space="0" w:color="auto"/>
                  </w:tcBorders>
                  <w:shd w:val="clear" w:color="auto" w:fill="auto"/>
                  <w:noWrap/>
                  <w:vAlign w:val="center"/>
                </w:tcPr>
                <w:p w14:paraId="5CE57A17" w14:textId="181071FA"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184 734</w:t>
                  </w:r>
                </w:p>
              </w:tc>
              <w:tc>
                <w:tcPr>
                  <w:tcW w:w="720" w:type="dxa"/>
                  <w:tcBorders>
                    <w:top w:val="nil"/>
                    <w:left w:val="nil"/>
                    <w:bottom w:val="single" w:sz="4" w:space="0" w:color="auto"/>
                    <w:right w:val="single" w:sz="8" w:space="0" w:color="auto"/>
                  </w:tcBorders>
                  <w:shd w:val="clear" w:color="auto" w:fill="auto"/>
                  <w:noWrap/>
                  <w:vAlign w:val="center"/>
                </w:tcPr>
                <w:p w14:paraId="6A89A636" w14:textId="49F14755" w:rsidR="008B2187" w:rsidRPr="00EA3A71" w:rsidRDefault="00721CF4"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189 352</w:t>
                  </w:r>
                </w:p>
              </w:tc>
            </w:tr>
            <w:tr w:rsidR="00690B89" w:rsidRPr="00687093" w14:paraId="56F693FB" w14:textId="0AF02F7D"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635C422" w14:textId="654FEC0E" w:rsidR="00690B89" w:rsidRPr="00EA3A71" w:rsidRDefault="00690B89" w:rsidP="00690B89">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vAlign w:val="center"/>
                </w:tcPr>
                <w:p w14:paraId="47B21A94" w14:textId="791E8207"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180 400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16B26B85" w14:textId="226F4600"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185 410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5D3994B" w14:textId="21DD206E"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190 045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31ACB321" w14:textId="3B31D8CE"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194 797</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960CD82" w14:textId="02571D3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203 879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1B8C9DF" w14:textId="6307D024"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204 658</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9253B17" w14:textId="3DC8F22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209 774</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3458BB58" w14:textId="60FDF943"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215 019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4B17FE94" w14:textId="0A50634C"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227 395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28E44E9" w14:textId="48FE19EC" w:rsidR="00690B89" w:rsidRPr="00EA3A71" w:rsidRDefault="00690B89" w:rsidP="008E0EF6">
                  <w:pPr>
                    <w:spacing w:line="240" w:lineRule="auto"/>
                    <w:ind w:left="-120"/>
                    <w:jc w:val="right"/>
                    <w:rPr>
                      <w:rFonts w:ascii="Times New Roman" w:eastAsia="Times New Roman" w:hAnsi="Times New Roman"/>
                      <w:b/>
                      <w:color w:val="000000"/>
                      <w:sz w:val="18"/>
                      <w:szCs w:val="18"/>
                      <w:lang w:eastAsia="pl-PL"/>
                    </w:rPr>
                  </w:pPr>
                  <w:r w:rsidRPr="00EA3A71">
                    <w:rPr>
                      <w:rFonts w:ascii="Times New Roman" w:hAnsi="Times New Roman"/>
                      <w:b/>
                      <w:bCs/>
                      <w:color w:val="000000"/>
                      <w:sz w:val="18"/>
                      <w:szCs w:val="18"/>
                    </w:rPr>
                    <w:t>225 904</w:t>
                  </w:r>
                </w:p>
              </w:tc>
            </w:tr>
          </w:tbl>
          <w:p w14:paraId="1D763638" w14:textId="087361C6" w:rsidR="008B2187" w:rsidRDefault="00FA3D04" w:rsidP="006011F9">
            <w:pPr>
              <w:spacing w:before="120" w:line="240" w:lineRule="auto"/>
              <w:jc w:val="both"/>
              <w:rPr>
                <w:rFonts w:ascii="Times New Roman" w:hAnsi="Times New Roman"/>
                <w:color w:val="000000"/>
              </w:rPr>
            </w:pPr>
            <w:r>
              <w:rPr>
                <w:rFonts w:ascii="Times New Roman" w:hAnsi="Times New Roman"/>
                <w:color w:val="000000"/>
              </w:rPr>
              <w:t>Do zakresu obowiązków pracownika URE należeć będzie:</w:t>
            </w:r>
            <w:r w:rsidR="008B2187">
              <w:rPr>
                <w:rFonts w:ascii="Times New Roman" w:hAnsi="Times New Roman"/>
                <w:color w:val="000000"/>
              </w:rPr>
              <w:t xml:space="preserve"> prowadzenie rejestru wytwórców </w:t>
            </w:r>
            <w:proofErr w:type="spellStart"/>
            <w:r w:rsidR="008B2187">
              <w:rPr>
                <w:rFonts w:ascii="Times New Roman" w:hAnsi="Times New Roman"/>
                <w:color w:val="000000"/>
              </w:rPr>
              <w:t>biometanu</w:t>
            </w:r>
            <w:proofErr w:type="spellEnd"/>
            <w:r w:rsidR="008B2187">
              <w:rPr>
                <w:rFonts w:ascii="Times New Roman" w:hAnsi="Times New Roman"/>
                <w:color w:val="000000"/>
              </w:rPr>
              <w:t xml:space="preserve">, analizowanie wniosków o wpis do rejestru wytwórców </w:t>
            </w:r>
            <w:proofErr w:type="spellStart"/>
            <w:r w:rsidR="008B2187">
              <w:rPr>
                <w:rFonts w:ascii="Times New Roman" w:hAnsi="Times New Roman"/>
                <w:color w:val="000000"/>
              </w:rPr>
              <w:t>biometanu</w:t>
            </w:r>
            <w:proofErr w:type="spellEnd"/>
            <w:r w:rsidR="001660DF">
              <w:rPr>
                <w:rFonts w:ascii="Times New Roman" w:hAnsi="Times New Roman"/>
                <w:color w:val="000000"/>
              </w:rPr>
              <w:t>,</w:t>
            </w:r>
            <w:r w:rsidR="008B2187">
              <w:rPr>
                <w:rFonts w:ascii="Times New Roman" w:hAnsi="Times New Roman"/>
                <w:color w:val="000000"/>
              </w:rPr>
              <w:t xml:space="preserve"> w tym dokonywanie zmian dotyczących wpisu, weryfikacja parametrów instalacji podlegającej wpisowi (poprawności składanych wniosków) oraz czynności związane z wykreśleniem z rejestru – jest to nowy rodzaj rejestru, dotychczas nie prowadzony w URE.</w:t>
            </w:r>
          </w:p>
          <w:p w14:paraId="3AEE5CB8" w14:textId="2EC9C057" w:rsidR="008B2187" w:rsidRDefault="008B2187" w:rsidP="002D389C">
            <w:pPr>
              <w:spacing w:after="120" w:line="240" w:lineRule="auto"/>
              <w:jc w:val="both"/>
              <w:rPr>
                <w:rFonts w:ascii="Times New Roman" w:hAnsi="Times New Roman"/>
                <w:color w:val="000000"/>
              </w:rPr>
            </w:pPr>
            <w:r>
              <w:rPr>
                <w:rFonts w:ascii="Times New Roman" w:hAnsi="Times New Roman"/>
                <w:color w:val="000000"/>
              </w:rPr>
              <w:t xml:space="preserve">Do zadań osoby zajmującej się obsługą rejestru należy również prowadzenie cyklicznej aktualizacji </w:t>
            </w:r>
            <w:r w:rsidRPr="00183A59">
              <w:rPr>
                <w:rFonts w:ascii="Times New Roman" w:hAnsi="Times New Roman"/>
                <w:color w:val="000000"/>
              </w:rPr>
              <w:t>rejestru, związane z wymogiem publikowania rejestru oraz prowadzenie postepowań w zakresie naruszenia obowią</w:t>
            </w:r>
            <w:r w:rsidRPr="00D84DBE">
              <w:rPr>
                <w:rFonts w:ascii="Times New Roman" w:hAnsi="Times New Roman"/>
                <w:color w:val="000000"/>
              </w:rPr>
              <w:t>zku dokonania wpisu do odpowiedniego rejestru, w tym wydawanie decyzji w przedmiocie zakazu prowadzenia działalności gospodarczej objętej wpisem oraz wymierzenie kar pieniężnych.</w:t>
            </w:r>
            <w:r>
              <w:rPr>
                <w:rFonts w:ascii="Times New Roman" w:hAnsi="Times New Roman"/>
                <w:color w:val="000000"/>
              </w:rPr>
              <w:t xml:space="preserve"> </w:t>
            </w:r>
          </w:p>
          <w:p w14:paraId="65C2FA59" w14:textId="25336EED" w:rsidR="00DA1688" w:rsidRPr="00AC36C8" w:rsidRDefault="00DA1688" w:rsidP="00D579A1">
            <w:pPr>
              <w:spacing w:after="120" w:line="240" w:lineRule="auto"/>
              <w:jc w:val="both"/>
              <w:rPr>
                <w:rFonts w:ascii="Times New Roman" w:hAnsi="Times New Roman"/>
                <w:color w:val="000000"/>
              </w:rPr>
            </w:pPr>
            <w:r>
              <w:rPr>
                <w:rFonts w:ascii="Times New Roman" w:hAnsi="Times New Roman"/>
                <w:color w:val="000000"/>
              </w:rPr>
              <w:lastRenderedPageBreak/>
              <w:t>Ponadto</w:t>
            </w:r>
            <w:r w:rsidR="00A73C42">
              <w:rPr>
                <w:rFonts w:ascii="Times New Roman" w:hAnsi="Times New Roman"/>
                <w:color w:val="000000"/>
              </w:rPr>
              <w:t>,</w:t>
            </w:r>
            <w:r>
              <w:rPr>
                <w:rFonts w:ascii="Times New Roman" w:hAnsi="Times New Roman"/>
                <w:color w:val="000000"/>
              </w:rPr>
              <w:t xml:space="preserve"> z</w:t>
            </w:r>
            <w:r w:rsidRPr="00AC36C8">
              <w:rPr>
                <w:rFonts w:ascii="Times New Roman" w:hAnsi="Times New Roman"/>
                <w:color w:val="000000"/>
              </w:rPr>
              <w:t xml:space="preserve">godnie z informacjami przekazanymi przez KOWR, z uwagi na fakt, iż rejestr wytwórców </w:t>
            </w:r>
            <w:proofErr w:type="spellStart"/>
            <w:r w:rsidRPr="00AC36C8">
              <w:rPr>
                <w:rFonts w:ascii="Times New Roman" w:hAnsi="Times New Roman"/>
                <w:color w:val="000000"/>
              </w:rPr>
              <w:t>biometanu</w:t>
            </w:r>
            <w:proofErr w:type="spellEnd"/>
            <w:r w:rsidRPr="00AC36C8">
              <w:rPr>
                <w:rFonts w:ascii="Times New Roman" w:hAnsi="Times New Roman"/>
                <w:color w:val="000000"/>
              </w:rPr>
              <w:t xml:space="preserve"> będzie prowadzony w ramach obecnie prowadzonego rejestru biogazu rolniczego, nie istnieje potrzeba zapewniania dodatkowych środków na obsługę tego systemu. </w:t>
            </w:r>
          </w:p>
          <w:p w14:paraId="74711CEC" w14:textId="77777777" w:rsidR="004B458B" w:rsidRDefault="00096E0C" w:rsidP="002D389C">
            <w:pPr>
              <w:spacing w:line="240" w:lineRule="auto"/>
              <w:jc w:val="both"/>
              <w:rPr>
                <w:rFonts w:ascii="Times New Roman" w:hAnsi="Times New Roman"/>
                <w:b/>
                <w:color w:val="000000"/>
                <w:u w:val="single"/>
              </w:rPr>
            </w:pPr>
            <w:r w:rsidRPr="00D579A1">
              <w:rPr>
                <w:rFonts w:ascii="Times New Roman" w:hAnsi="Times New Roman"/>
                <w:b/>
                <w:color w:val="000000"/>
                <w:u w:val="single"/>
              </w:rPr>
              <w:t>II. Klastry energii</w:t>
            </w:r>
          </w:p>
          <w:p w14:paraId="0F1D963D" w14:textId="00C3D939" w:rsidR="002D389C" w:rsidRPr="002D389C" w:rsidRDefault="002D389C" w:rsidP="004B458B">
            <w:pPr>
              <w:spacing w:after="120" w:line="240" w:lineRule="auto"/>
              <w:jc w:val="both"/>
              <w:rPr>
                <w:rFonts w:ascii="Times New Roman" w:hAnsi="Times New Roman"/>
                <w:bCs/>
                <w:color w:val="000000"/>
              </w:rPr>
            </w:pPr>
            <w:r w:rsidRPr="002D389C">
              <w:rPr>
                <w:rFonts w:ascii="Times New Roman" w:hAnsi="Times New Roman"/>
                <w:bCs/>
                <w:color w:val="000000"/>
              </w:rPr>
              <w:t>Realizowane działania będą się wiązały z dodatkowymi kosztami po stronie URE w zakresie:</w:t>
            </w:r>
          </w:p>
          <w:p w14:paraId="7D194838" w14:textId="159FB320" w:rsidR="002D389C" w:rsidRPr="004B458B" w:rsidRDefault="002D389C" w:rsidP="002D389C">
            <w:pPr>
              <w:spacing w:line="240" w:lineRule="auto"/>
              <w:jc w:val="both"/>
              <w:rPr>
                <w:rFonts w:ascii="Times New Roman" w:hAnsi="Times New Roman"/>
                <w:b/>
                <w:color w:val="000000"/>
              </w:rPr>
            </w:pPr>
            <w:r w:rsidRPr="004B458B">
              <w:rPr>
                <w:rFonts w:ascii="Times New Roman" w:hAnsi="Times New Roman"/>
                <w:b/>
                <w:color w:val="000000"/>
              </w:rPr>
              <w:t>Pozycja 1 – koszty infrastruktury:</w:t>
            </w:r>
          </w:p>
          <w:p w14:paraId="4DF49709" w14:textId="77777777" w:rsidR="002D389C" w:rsidRPr="002D389C" w:rsidRDefault="002D389C" w:rsidP="002D389C">
            <w:pPr>
              <w:spacing w:line="240" w:lineRule="auto"/>
              <w:jc w:val="both"/>
              <w:rPr>
                <w:rFonts w:ascii="Times New Roman" w:hAnsi="Times New Roman"/>
                <w:bCs/>
                <w:color w:val="000000"/>
              </w:rPr>
            </w:pPr>
            <w:r w:rsidRPr="002D389C">
              <w:rPr>
                <w:rFonts w:ascii="Times New Roman" w:hAnsi="Times New Roman"/>
                <w:bCs/>
                <w:color w:val="000000"/>
              </w:rPr>
              <w:t>- wynajem powierzchni biurowej, koszty energii elektrycznej, sprzątanie, itp.,</w:t>
            </w:r>
          </w:p>
          <w:p w14:paraId="3B531680" w14:textId="35AB02F7" w:rsidR="002D389C" w:rsidRDefault="002D389C" w:rsidP="004B458B">
            <w:pPr>
              <w:spacing w:after="120" w:line="240" w:lineRule="auto"/>
              <w:jc w:val="both"/>
              <w:rPr>
                <w:rFonts w:ascii="Times New Roman" w:hAnsi="Times New Roman"/>
                <w:bCs/>
                <w:color w:val="000000"/>
              </w:rPr>
            </w:pPr>
            <w:r w:rsidRPr="002D389C">
              <w:rPr>
                <w:rFonts w:ascii="Times New Roman" w:hAnsi="Times New Roman"/>
                <w:bCs/>
                <w:color w:val="000000"/>
              </w:rPr>
              <w:t>- utworzenie stanowiska pracy (w tym niezbędnej infrastruktury) oraz jej utrzymania (szkolenia, itp.).</w:t>
            </w:r>
          </w:p>
          <w:p w14:paraId="7D930B5B" w14:textId="06679CC9" w:rsidR="002D389C" w:rsidRPr="00F72540" w:rsidRDefault="002D389C" w:rsidP="002D389C">
            <w:pPr>
              <w:spacing w:line="240" w:lineRule="auto"/>
              <w:jc w:val="both"/>
              <w:rPr>
                <w:rFonts w:ascii="Times New Roman" w:hAnsi="Times New Roman"/>
                <w:b/>
                <w:color w:val="000000"/>
              </w:rPr>
            </w:pPr>
            <w:r w:rsidRPr="00F72540">
              <w:rPr>
                <w:rFonts w:ascii="Times New Roman" w:hAnsi="Times New Roman"/>
                <w:b/>
                <w:color w:val="000000"/>
              </w:rPr>
              <w:t>Pozycja 2 – koszty osobowe:</w:t>
            </w:r>
          </w:p>
          <w:p w14:paraId="3834FFE6" w14:textId="166C56BF" w:rsidR="004B458B" w:rsidRDefault="002D389C" w:rsidP="002A3554">
            <w:pPr>
              <w:spacing w:after="120" w:line="240" w:lineRule="auto"/>
              <w:jc w:val="both"/>
              <w:rPr>
                <w:rFonts w:ascii="Times New Roman" w:hAnsi="Times New Roman"/>
                <w:bCs/>
                <w:color w:val="000000"/>
              </w:rPr>
            </w:pPr>
            <w:r w:rsidRPr="002D389C">
              <w:rPr>
                <w:rFonts w:ascii="Times New Roman" w:hAnsi="Times New Roman"/>
                <w:bCs/>
                <w:color w:val="000000"/>
              </w:rPr>
              <w:t>Zgodnie z informacjami przekazanymi przez URE, bazując na dotychczasowym doświadczeniu niezbędne dla skutecznej realizacji nowych zadań będzie zatrudnienie dodatkowej (1) osoby</w:t>
            </w:r>
            <w:r w:rsidR="00F72540">
              <w:rPr>
                <w:rFonts w:ascii="Times New Roman" w:hAnsi="Times New Roman"/>
                <w:bCs/>
                <w:color w:val="000000"/>
              </w:rPr>
              <w:t xml:space="preserve">, której zadaniem będzie </w:t>
            </w:r>
            <w:r w:rsidR="00F93252">
              <w:rPr>
                <w:rFonts w:ascii="Times New Roman" w:hAnsi="Times New Roman"/>
                <w:bCs/>
                <w:color w:val="000000"/>
              </w:rPr>
              <w:t>prowadzenie rejestru klastrów energii</w:t>
            </w:r>
            <w:r w:rsidR="00195853" w:rsidRPr="00F72540">
              <w:rPr>
                <w:rFonts w:ascii="Times New Roman" w:hAnsi="Times New Roman"/>
                <w:bCs/>
                <w:color w:val="000000"/>
              </w:rPr>
              <w:t>.</w:t>
            </w:r>
            <w:r w:rsidR="00F15287">
              <w:rPr>
                <w:rFonts w:ascii="Times New Roman" w:hAnsi="Times New Roman"/>
                <w:bCs/>
                <w:color w:val="000000"/>
              </w:rPr>
              <w:t xml:space="preserve"> Nowe zadania dotyczyć będą postępowań o wpis, zmianę lub wykreślenie wpisu w rejestrze, a także otrzymywania sprawozdawczości rocznej klastrów energii.</w:t>
            </w:r>
          </w:p>
          <w:p w14:paraId="10F6B8ED" w14:textId="2B966F3C" w:rsidR="005B738B" w:rsidRDefault="004C0172" w:rsidP="002A3554">
            <w:pPr>
              <w:spacing w:after="120" w:line="240" w:lineRule="auto"/>
              <w:jc w:val="both"/>
              <w:rPr>
                <w:rFonts w:ascii="Times New Roman" w:hAnsi="Times New Roman"/>
                <w:bCs/>
                <w:color w:val="000000"/>
              </w:rPr>
            </w:pPr>
            <w:r>
              <w:rPr>
                <w:rFonts w:ascii="Times New Roman" w:hAnsi="Times New Roman"/>
                <w:bCs/>
                <w:color w:val="000000"/>
              </w:rPr>
              <w:t xml:space="preserve">Tabela 7. </w:t>
            </w:r>
            <w:r w:rsidRPr="00687093">
              <w:rPr>
                <w:rFonts w:ascii="Times New Roman" w:hAnsi="Times New Roman"/>
                <w:color w:val="000000"/>
              </w:rPr>
              <w:t xml:space="preserve">Wartość kosztów </w:t>
            </w:r>
            <w:r>
              <w:rPr>
                <w:rFonts w:ascii="Times New Roman" w:hAnsi="Times New Roman"/>
                <w:color w:val="000000"/>
              </w:rPr>
              <w:t xml:space="preserve">dotyczących pozycji 1 i 2 </w:t>
            </w:r>
            <w:r w:rsidRPr="00687093">
              <w:rPr>
                <w:rFonts w:ascii="Times New Roman" w:hAnsi="Times New Roman"/>
                <w:color w:val="000000"/>
              </w:rPr>
              <w:t>w poszczególnych latach przedstawia się w sposób następujący:</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493700" w:rsidRPr="00687093" w14:paraId="4512B333" w14:textId="77777777" w:rsidTr="00786EA2">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A096288"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0515D83F"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2159E63"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26A09F8"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90D25F1"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87566E5"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AF92F97"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24A389E0"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0ED1DEF"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3A21F36"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D9415BC"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493700" w:rsidRPr="00687093" w14:paraId="3AF54814"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79718690" w14:textId="0B993A34"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34436C1" w14:textId="77777777" w:rsidR="00493700" w:rsidRPr="00EA3A71" w:rsidRDefault="00493700" w:rsidP="0049370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F72540" w:rsidRPr="00687093" w14:paraId="04D91BF3"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6EDB096B" w14:textId="77777777" w:rsidR="00F72540" w:rsidRPr="00EA3A71" w:rsidRDefault="00F72540" w:rsidP="00F72540">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vAlign w:val="center"/>
                </w:tcPr>
                <w:p w14:paraId="64054C20" w14:textId="419BAB1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40 000</w:t>
                  </w:r>
                </w:p>
              </w:tc>
              <w:tc>
                <w:tcPr>
                  <w:tcW w:w="720" w:type="dxa"/>
                  <w:tcBorders>
                    <w:top w:val="nil"/>
                    <w:left w:val="nil"/>
                    <w:bottom w:val="single" w:sz="8" w:space="0" w:color="auto"/>
                    <w:right w:val="single" w:sz="8" w:space="0" w:color="auto"/>
                  </w:tcBorders>
                  <w:shd w:val="clear" w:color="auto" w:fill="auto"/>
                  <w:noWrap/>
                  <w:vAlign w:val="center"/>
                </w:tcPr>
                <w:p w14:paraId="3A464403" w14:textId="5119231E"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30 000</w:t>
                  </w:r>
                </w:p>
              </w:tc>
              <w:tc>
                <w:tcPr>
                  <w:tcW w:w="720" w:type="dxa"/>
                  <w:tcBorders>
                    <w:top w:val="nil"/>
                    <w:left w:val="nil"/>
                    <w:bottom w:val="single" w:sz="8" w:space="0" w:color="auto"/>
                    <w:right w:val="single" w:sz="8" w:space="0" w:color="auto"/>
                  </w:tcBorders>
                  <w:shd w:val="clear" w:color="auto" w:fill="auto"/>
                  <w:noWrap/>
                  <w:vAlign w:val="center"/>
                </w:tcPr>
                <w:p w14:paraId="34ABFF82" w14:textId="5A92A8EB"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30 750</w:t>
                  </w:r>
                </w:p>
              </w:tc>
              <w:tc>
                <w:tcPr>
                  <w:tcW w:w="720" w:type="dxa"/>
                  <w:tcBorders>
                    <w:top w:val="nil"/>
                    <w:left w:val="nil"/>
                    <w:bottom w:val="single" w:sz="8" w:space="0" w:color="auto"/>
                    <w:right w:val="single" w:sz="8" w:space="0" w:color="auto"/>
                  </w:tcBorders>
                  <w:shd w:val="clear" w:color="auto" w:fill="auto"/>
                  <w:noWrap/>
                  <w:vAlign w:val="center"/>
                </w:tcPr>
                <w:p w14:paraId="4575DE97" w14:textId="5CAE96B7"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31 519</w:t>
                  </w:r>
                </w:p>
              </w:tc>
              <w:tc>
                <w:tcPr>
                  <w:tcW w:w="720" w:type="dxa"/>
                  <w:tcBorders>
                    <w:top w:val="nil"/>
                    <w:left w:val="nil"/>
                    <w:bottom w:val="single" w:sz="8" w:space="0" w:color="auto"/>
                    <w:right w:val="single" w:sz="8" w:space="0" w:color="auto"/>
                  </w:tcBorders>
                  <w:shd w:val="clear" w:color="auto" w:fill="auto"/>
                  <w:noWrap/>
                  <w:vAlign w:val="center"/>
                </w:tcPr>
                <w:p w14:paraId="55E921D1" w14:textId="079CC7B5"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36 519</w:t>
                  </w:r>
                </w:p>
              </w:tc>
              <w:tc>
                <w:tcPr>
                  <w:tcW w:w="720" w:type="dxa"/>
                  <w:tcBorders>
                    <w:top w:val="nil"/>
                    <w:left w:val="nil"/>
                    <w:bottom w:val="single" w:sz="8" w:space="0" w:color="auto"/>
                    <w:right w:val="single" w:sz="8" w:space="0" w:color="auto"/>
                  </w:tcBorders>
                  <w:shd w:val="clear" w:color="auto" w:fill="auto"/>
                  <w:noWrap/>
                  <w:vAlign w:val="center"/>
                </w:tcPr>
                <w:p w14:paraId="6BC33C65" w14:textId="1141ED5F"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33 114</w:t>
                  </w:r>
                </w:p>
              </w:tc>
              <w:tc>
                <w:tcPr>
                  <w:tcW w:w="720" w:type="dxa"/>
                  <w:tcBorders>
                    <w:top w:val="nil"/>
                    <w:left w:val="nil"/>
                    <w:bottom w:val="single" w:sz="8" w:space="0" w:color="auto"/>
                    <w:right w:val="single" w:sz="8" w:space="0" w:color="auto"/>
                  </w:tcBorders>
                  <w:shd w:val="clear" w:color="auto" w:fill="auto"/>
                  <w:noWrap/>
                  <w:vAlign w:val="center"/>
                </w:tcPr>
                <w:p w14:paraId="3BF0D6FE" w14:textId="7FE99B4D"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33 942</w:t>
                  </w:r>
                </w:p>
              </w:tc>
              <w:tc>
                <w:tcPr>
                  <w:tcW w:w="720" w:type="dxa"/>
                  <w:tcBorders>
                    <w:top w:val="nil"/>
                    <w:left w:val="nil"/>
                    <w:bottom w:val="single" w:sz="8" w:space="0" w:color="auto"/>
                    <w:right w:val="single" w:sz="8" w:space="0" w:color="auto"/>
                  </w:tcBorders>
                  <w:shd w:val="clear" w:color="auto" w:fill="auto"/>
                  <w:noWrap/>
                  <w:vAlign w:val="center"/>
                </w:tcPr>
                <w:p w14:paraId="2174A21F" w14:textId="22FA1D98"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34 791</w:t>
                  </w:r>
                </w:p>
              </w:tc>
              <w:tc>
                <w:tcPr>
                  <w:tcW w:w="720" w:type="dxa"/>
                  <w:tcBorders>
                    <w:top w:val="nil"/>
                    <w:left w:val="nil"/>
                    <w:bottom w:val="single" w:sz="8" w:space="0" w:color="auto"/>
                    <w:right w:val="single" w:sz="8" w:space="0" w:color="auto"/>
                  </w:tcBorders>
                  <w:shd w:val="clear" w:color="auto" w:fill="auto"/>
                  <w:noWrap/>
                  <w:vAlign w:val="center"/>
                </w:tcPr>
                <w:p w14:paraId="127C3C8E" w14:textId="01573722"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42 661</w:t>
                  </w:r>
                </w:p>
              </w:tc>
              <w:tc>
                <w:tcPr>
                  <w:tcW w:w="720" w:type="dxa"/>
                  <w:tcBorders>
                    <w:top w:val="nil"/>
                    <w:left w:val="nil"/>
                    <w:bottom w:val="single" w:sz="8" w:space="0" w:color="auto"/>
                    <w:right w:val="single" w:sz="8" w:space="0" w:color="auto"/>
                  </w:tcBorders>
                  <w:shd w:val="clear" w:color="auto" w:fill="auto"/>
                  <w:noWrap/>
                  <w:vAlign w:val="center"/>
                </w:tcPr>
                <w:p w14:paraId="432BDD64" w14:textId="10B1EF7B"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36 552</w:t>
                  </w:r>
                </w:p>
              </w:tc>
            </w:tr>
            <w:tr w:rsidR="00F72540" w:rsidRPr="00687093" w14:paraId="5D73DDD4" w14:textId="77777777"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1811EBDB" w14:textId="77777777" w:rsidR="00F72540" w:rsidRPr="00EA3A71" w:rsidRDefault="00F72540" w:rsidP="00F72540">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vAlign w:val="center"/>
                </w:tcPr>
                <w:p w14:paraId="0291FB57" w14:textId="70A39D80"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140 400</w:t>
                  </w:r>
                </w:p>
              </w:tc>
              <w:tc>
                <w:tcPr>
                  <w:tcW w:w="720" w:type="dxa"/>
                  <w:tcBorders>
                    <w:top w:val="nil"/>
                    <w:left w:val="nil"/>
                    <w:bottom w:val="single" w:sz="4" w:space="0" w:color="auto"/>
                    <w:right w:val="single" w:sz="8" w:space="0" w:color="auto"/>
                  </w:tcBorders>
                  <w:shd w:val="clear" w:color="auto" w:fill="auto"/>
                  <w:noWrap/>
                  <w:vAlign w:val="center"/>
                </w:tcPr>
                <w:p w14:paraId="3563F6B9" w14:textId="16D2F6C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155 410</w:t>
                  </w:r>
                </w:p>
              </w:tc>
              <w:tc>
                <w:tcPr>
                  <w:tcW w:w="720" w:type="dxa"/>
                  <w:tcBorders>
                    <w:top w:val="nil"/>
                    <w:left w:val="nil"/>
                    <w:bottom w:val="single" w:sz="4" w:space="0" w:color="auto"/>
                    <w:right w:val="single" w:sz="8" w:space="0" w:color="auto"/>
                  </w:tcBorders>
                  <w:shd w:val="clear" w:color="auto" w:fill="auto"/>
                  <w:noWrap/>
                  <w:vAlign w:val="center"/>
                </w:tcPr>
                <w:p w14:paraId="56FCE0F0" w14:textId="70958FC3"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159 295</w:t>
                  </w:r>
                </w:p>
              </w:tc>
              <w:tc>
                <w:tcPr>
                  <w:tcW w:w="720" w:type="dxa"/>
                  <w:tcBorders>
                    <w:top w:val="nil"/>
                    <w:left w:val="nil"/>
                    <w:bottom w:val="single" w:sz="4" w:space="0" w:color="auto"/>
                    <w:right w:val="single" w:sz="8" w:space="0" w:color="auto"/>
                  </w:tcBorders>
                  <w:shd w:val="clear" w:color="auto" w:fill="auto"/>
                  <w:noWrap/>
                  <w:vAlign w:val="center"/>
                </w:tcPr>
                <w:p w14:paraId="3E4E3DD7" w14:textId="3FC44931"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163 278</w:t>
                  </w:r>
                </w:p>
              </w:tc>
              <w:tc>
                <w:tcPr>
                  <w:tcW w:w="720" w:type="dxa"/>
                  <w:tcBorders>
                    <w:top w:val="nil"/>
                    <w:left w:val="nil"/>
                    <w:bottom w:val="single" w:sz="4" w:space="0" w:color="auto"/>
                    <w:right w:val="single" w:sz="8" w:space="0" w:color="auto"/>
                  </w:tcBorders>
                  <w:shd w:val="clear" w:color="auto" w:fill="auto"/>
                  <w:noWrap/>
                  <w:vAlign w:val="center"/>
                </w:tcPr>
                <w:p w14:paraId="5AA73519" w14:textId="646A103D"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167 360</w:t>
                  </w:r>
                </w:p>
              </w:tc>
              <w:tc>
                <w:tcPr>
                  <w:tcW w:w="720" w:type="dxa"/>
                  <w:tcBorders>
                    <w:top w:val="nil"/>
                    <w:left w:val="nil"/>
                    <w:bottom w:val="single" w:sz="4" w:space="0" w:color="auto"/>
                    <w:right w:val="single" w:sz="8" w:space="0" w:color="auto"/>
                  </w:tcBorders>
                  <w:shd w:val="clear" w:color="auto" w:fill="auto"/>
                  <w:noWrap/>
                  <w:vAlign w:val="center"/>
                </w:tcPr>
                <w:p w14:paraId="5BACF1AC" w14:textId="4BF6FA9C"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171 544</w:t>
                  </w:r>
                </w:p>
              </w:tc>
              <w:tc>
                <w:tcPr>
                  <w:tcW w:w="720" w:type="dxa"/>
                  <w:tcBorders>
                    <w:top w:val="nil"/>
                    <w:left w:val="nil"/>
                    <w:bottom w:val="single" w:sz="4" w:space="0" w:color="auto"/>
                    <w:right w:val="single" w:sz="8" w:space="0" w:color="auto"/>
                  </w:tcBorders>
                  <w:shd w:val="clear" w:color="auto" w:fill="auto"/>
                  <w:noWrap/>
                  <w:vAlign w:val="center"/>
                </w:tcPr>
                <w:p w14:paraId="14C03B6A" w14:textId="5A2DE61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175 832</w:t>
                  </w:r>
                </w:p>
              </w:tc>
              <w:tc>
                <w:tcPr>
                  <w:tcW w:w="720" w:type="dxa"/>
                  <w:tcBorders>
                    <w:top w:val="nil"/>
                    <w:left w:val="nil"/>
                    <w:bottom w:val="single" w:sz="4" w:space="0" w:color="auto"/>
                    <w:right w:val="single" w:sz="8" w:space="0" w:color="auto"/>
                  </w:tcBorders>
                  <w:shd w:val="clear" w:color="auto" w:fill="auto"/>
                  <w:noWrap/>
                  <w:vAlign w:val="center"/>
                </w:tcPr>
                <w:p w14:paraId="2DB40283" w14:textId="16F4108F"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180 228</w:t>
                  </w:r>
                </w:p>
              </w:tc>
              <w:tc>
                <w:tcPr>
                  <w:tcW w:w="720" w:type="dxa"/>
                  <w:tcBorders>
                    <w:top w:val="nil"/>
                    <w:left w:val="nil"/>
                    <w:bottom w:val="single" w:sz="4" w:space="0" w:color="auto"/>
                    <w:right w:val="single" w:sz="8" w:space="0" w:color="auto"/>
                  </w:tcBorders>
                  <w:shd w:val="clear" w:color="auto" w:fill="auto"/>
                  <w:noWrap/>
                  <w:vAlign w:val="center"/>
                </w:tcPr>
                <w:p w14:paraId="6DD12D7C" w14:textId="2D834CA4"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184 734</w:t>
                  </w:r>
                </w:p>
              </w:tc>
              <w:tc>
                <w:tcPr>
                  <w:tcW w:w="720" w:type="dxa"/>
                  <w:tcBorders>
                    <w:top w:val="nil"/>
                    <w:left w:val="nil"/>
                    <w:bottom w:val="single" w:sz="4" w:space="0" w:color="auto"/>
                    <w:right w:val="single" w:sz="8" w:space="0" w:color="auto"/>
                  </w:tcBorders>
                  <w:shd w:val="clear" w:color="auto" w:fill="auto"/>
                  <w:noWrap/>
                  <w:vAlign w:val="center"/>
                </w:tcPr>
                <w:p w14:paraId="0CCADC58" w14:textId="631396B1" w:rsidR="00F72540" w:rsidRPr="00EA3A71" w:rsidRDefault="00F72540" w:rsidP="008E0EF6">
                  <w:pPr>
                    <w:spacing w:line="240" w:lineRule="auto"/>
                    <w:ind w:left="-120"/>
                    <w:jc w:val="right"/>
                    <w:rPr>
                      <w:rFonts w:ascii="Times New Roman" w:eastAsia="Times New Roman" w:hAnsi="Times New Roman"/>
                      <w:color w:val="000000"/>
                      <w:sz w:val="18"/>
                      <w:szCs w:val="18"/>
                      <w:lang w:eastAsia="pl-PL"/>
                    </w:rPr>
                  </w:pPr>
                  <w:r w:rsidRPr="00EA3A71">
                    <w:rPr>
                      <w:rFonts w:ascii="Times New Roman" w:hAnsi="Times New Roman"/>
                      <w:sz w:val="18"/>
                      <w:szCs w:val="18"/>
                    </w:rPr>
                    <w:t>189 352</w:t>
                  </w:r>
                </w:p>
              </w:tc>
            </w:tr>
            <w:tr w:rsidR="00F72540" w:rsidRPr="00687093" w14:paraId="5986028E" w14:textId="77777777"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1120141" w14:textId="77777777" w:rsidR="00F72540" w:rsidRPr="00EA3A71" w:rsidRDefault="00F72540" w:rsidP="00F72540">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vAlign w:val="center"/>
                </w:tcPr>
                <w:p w14:paraId="6AC70263" w14:textId="4FBE8F73"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180 400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6FB37FC1" w14:textId="6A8979BF"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185 410</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4390F9D" w14:textId="11B11B93"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190 045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C18E7A8" w14:textId="696AE2A4"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194 797</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27BE7E7" w14:textId="52E23772"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203 879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67C7AE2" w14:textId="07439ECC"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204 658</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0831482" w14:textId="65B163DD"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209 774</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5FB681FC" w14:textId="7BDAEECC"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215 019</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77A59AAD" w14:textId="65280BBD"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227 395</w:t>
                  </w:r>
                </w:p>
              </w:tc>
              <w:tc>
                <w:tcPr>
                  <w:tcW w:w="720" w:type="dxa"/>
                  <w:tcBorders>
                    <w:top w:val="single" w:sz="4" w:space="0" w:color="auto"/>
                    <w:left w:val="nil"/>
                    <w:bottom w:val="single" w:sz="8" w:space="0" w:color="auto"/>
                    <w:right w:val="single" w:sz="8" w:space="0" w:color="auto"/>
                  </w:tcBorders>
                  <w:shd w:val="clear" w:color="auto" w:fill="auto"/>
                  <w:noWrap/>
                  <w:vAlign w:val="center"/>
                </w:tcPr>
                <w:p w14:paraId="272BE1E6" w14:textId="4C1A8666" w:rsidR="00F72540" w:rsidRPr="00EA3A71" w:rsidRDefault="00F72540" w:rsidP="008E0EF6">
                  <w:pPr>
                    <w:spacing w:line="240" w:lineRule="auto"/>
                    <w:ind w:left="-120"/>
                    <w:jc w:val="right"/>
                    <w:rPr>
                      <w:rFonts w:ascii="Times New Roman" w:eastAsia="Times New Roman" w:hAnsi="Times New Roman"/>
                      <w:b/>
                      <w:bCs/>
                      <w:color w:val="000000"/>
                      <w:sz w:val="18"/>
                      <w:szCs w:val="18"/>
                      <w:lang w:eastAsia="pl-PL"/>
                    </w:rPr>
                  </w:pPr>
                  <w:r w:rsidRPr="00EA3A71">
                    <w:rPr>
                      <w:rFonts w:ascii="Times New Roman" w:hAnsi="Times New Roman"/>
                      <w:b/>
                      <w:bCs/>
                      <w:sz w:val="18"/>
                      <w:szCs w:val="18"/>
                    </w:rPr>
                    <w:t>225 904</w:t>
                  </w:r>
                </w:p>
              </w:tc>
            </w:tr>
          </w:tbl>
          <w:p w14:paraId="748DD29D" w14:textId="4501E342" w:rsidR="00B13AF2" w:rsidRPr="00F30CC2" w:rsidRDefault="00806E34" w:rsidP="002A3554">
            <w:pPr>
              <w:spacing w:before="120" w:after="120" w:line="240" w:lineRule="auto"/>
              <w:jc w:val="both"/>
              <w:rPr>
                <w:rFonts w:ascii="Times New Roman" w:hAnsi="Times New Roman"/>
                <w:b/>
                <w:bCs/>
                <w:color w:val="000000"/>
                <w:u w:val="single"/>
              </w:rPr>
            </w:pPr>
            <w:r w:rsidRPr="00623A9E">
              <w:rPr>
                <w:rFonts w:ascii="Times New Roman" w:hAnsi="Times New Roman"/>
                <w:b/>
                <w:bCs/>
                <w:color w:val="000000"/>
                <w:u w:val="single"/>
              </w:rPr>
              <w:t>III.1. Ciepłownictwo i chłodnictwo</w:t>
            </w:r>
            <w:r w:rsidR="00B13AF2" w:rsidRPr="00F30CC2">
              <w:rPr>
                <w:rFonts w:ascii="Times New Roman" w:hAnsi="Times New Roman"/>
                <w:b/>
                <w:bCs/>
                <w:color w:val="000000"/>
                <w:u w:val="single"/>
              </w:rPr>
              <w:t xml:space="preserve"> </w:t>
            </w:r>
          </w:p>
          <w:p w14:paraId="3B3FF5B3" w14:textId="45BE5575" w:rsidR="002B147C"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 xml:space="preserve">W zakresie wydatków z budżetu państwa uwzględniono koszty przeznaczone na zatrudnienie nowych pracowników odpowiedzialnych za obsługę </w:t>
            </w:r>
            <w:r w:rsidRPr="00332D81">
              <w:rPr>
                <w:rFonts w:ascii="Times New Roman" w:hAnsi="Times New Roman"/>
                <w:color w:val="000000"/>
              </w:rPr>
              <w:t>wniosk</w:t>
            </w:r>
            <w:r>
              <w:rPr>
                <w:rFonts w:ascii="Times New Roman" w:hAnsi="Times New Roman"/>
                <w:color w:val="000000"/>
              </w:rPr>
              <w:t>ów</w:t>
            </w:r>
            <w:r w:rsidRPr="00332D81">
              <w:rPr>
                <w:rFonts w:ascii="Times New Roman" w:hAnsi="Times New Roman"/>
                <w:color w:val="000000"/>
              </w:rPr>
              <w:t xml:space="preserve"> </w:t>
            </w:r>
            <w:r>
              <w:rPr>
                <w:rFonts w:ascii="Times New Roman" w:hAnsi="Times New Roman"/>
                <w:color w:val="000000"/>
              </w:rPr>
              <w:t>o</w:t>
            </w:r>
            <w:r w:rsidRPr="00332D81">
              <w:rPr>
                <w:rFonts w:ascii="Times New Roman" w:hAnsi="Times New Roman"/>
                <w:color w:val="000000"/>
              </w:rPr>
              <w:t xml:space="preserve"> uzgodnienie planu rozwoju w części przewidującej, że system ciepłowniczy danego przedsiębiorstwa będzie spełniał w terminie do 31 grudnia 2025 r. warunki uznania za efektywny energetycznie system ciepłowniczy</w:t>
            </w:r>
            <w:r>
              <w:rPr>
                <w:rFonts w:ascii="Times New Roman" w:hAnsi="Times New Roman"/>
                <w:color w:val="000000"/>
              </w:rPr>
              <w:t xml:space="preserve"> oraz obsługę dodatkowej sprawozdawczości.</w:t>
            </w:r>
            <w:r w:rsidRPr="00D12317">
              <w:rPr>
                <w:rFonts w:ascii="Times New Roman" w:hAnsi="Times New Roman"/>
                <w:color w:val="000000"/>
              </w:rPr>
              <w:t xml:space="preserve"> Uwzględniono wzrost zatrudnienia w jednostkach publicznych uczestniczących w procesach związanych </w:t>
            </w:r>
            <w:r>
              <w:rPr>
                <w:rFonts w:ascii="Times New Roman" w:hAnsi="Times New Roman"/>
                <w:color w:val="000000"/>
              </w:rPr>
              <w:t xml:space="preserve">z tymi zadaniami </w:t>
            </w:r>
            <w:r w:rsidRPr="00D12317">
              <w:rPr>
                <w:rFonts w:ascii="Times New Roman" w:hAnsi="Times New Roman"/>
                <w:color w:val="000000"/>
              </w:rPr>
              <w:t xml:space="preserve">w Urzędzie Regulacji Energetyki (URE). </w:t>
            </w:r>
          </w:p>
          <w:p w14:paraId="1FC19CB6" w14:textId="2B2909E6" w:rsidR="002B147C" w:rsidRPr="00D12317"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W perspektywie 10 lat przewiduje się zatrudnienie</w:t>
            </w:r>
            <w:r w:rsidR="004C0172">
              <w:rPr>
                <w:rFonts w:ascii="Times New Roman" w:hAnsi="Times New Roman"/>
                <w:color w:val="000000"/>
              </w:rPr>
              <w:t xml:space="preserve"> </w:t>
            </w:r>
            <w:r>
              <w:rPr>
                <w:rFonts w:ascii="Times New Roman" w:hAnsi="Times New Roman"/>
                <w:color w:val="000000"/>
              </w:rPr>
              <w:t>3</w:t>
            </w:r>
            <w:r w:rsidRPr="00D12317">
              <w:rPr>
                <w:rFonts w:ascii="Times New Roman" w:hAnsi="Times New Roman"/>
                <w:color w:val="000000"/>
              </w:rPr>
              <w:t xml:space="preserve"> pracowników w URE. Zasady i tryb kształtowania wynagrodzeń w państwowej sferze budżetowej określają przepisy ustawy z dnia 23 grudnia 1999 r. o kształtowaniu wynagrodzeń w państwowej sferze budżetowej oraz o zmianie niektórych ustaw (Dz.U. z </w:t>
            </w:r>
            <w:r>
              <w:rPr>
                <w:rFonts w:ascii="Times New Roman" w:hAnsi="Times New Roman"/>
                <w:color w:val="000000"/>
              </w:rPr>
              <w:t>2020</w:t>
            </w:r>
            <w:r w:rsidRPr="00D12317">
              <w:rPr>
                <w:rFonts w:ascii="Times New Roman" w:hAnsi="Times New Roman"/>
                <w:color w:val="000000"/>
              </w:rPr>
              <w:t xml:space="preserve"> r. poz. </w:t>
            </w:r>
            <w:r>
              <w:rPr>
                <w:rFonts w:ascii="Times New Roman" w:hAnsi="Times New Roman"/>
                <w:color w:val="000000"/>
              </w:rPr>
              <w:t>1658</w:t>
            </w:r>
            <w:r w:rsidRPr="00D12317">
              <w:rPr>
                <w:rFonts w:ascii="Times New Roman" w:hAnsi="Times New Roman"/>
                <w:color w:val="000000"/>
              </w:rPr>
              <w:t xml:space="preserve">); stosownie do przepisów art. 9 ust. 1 pkt 4 tej ustawy, w ustawie budżetowej na dany rok ustala się m.in. kwoty wynagrodzeń dla państwowych jednostek budżetowych dla poszczególnych grup pracowników w podziale na części i działy klasyfikacji dochodów i wydatków. </w:t>
            </w:r>
          </w:p>
          <w:p w14:paraId="61A5ACEF" w14:textId="53B5B8CF" w:rsidR="002B147C" w:rsidRPr="00D12317"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 xml:space="preserve">Realizacja </w:t>
            </w:r>
            <w:r>
              <w:rPr>
                <w:rFonts w:ascii="Times New Roman" w:hAnsi="Times New Roman"/>
                <w:color w:val="000000"/>
              </w:rPr>
              <w:t xml:space="preserve">nowych </w:t>
            </w:r>
            <w:r w:rsidRPr="00D12317">
              <w:rPr>
                <w:rFonts w:ascii="Times New Roman" w:hAnsi="Times New Roman"/>
                <w:color w:val="000000"/>
              </w:rPr>
              <w:t>zadań w URE nie ma</w:t>
            </w:r>
            <w:r w:rsidR="004C0172">
              <w:rPr>
                <w:rFonts w:ascii="Times New Roman" w:hAnsi="Times New Roman"/>
                <w:color w:val="000000"/>
              </w:rPr>
              <w:t xml:space="preserve"> </w:t>
            </w:r>
            <w:r w:rsidRPr="00D12317">
              <w:rPr>
                <w:rFonts w:ascii="Times New Roman" w:hAnsi="Times New Roman"/>
                <w:color w:val="000000"/>
              </w:rPr>
              <w:t>charakteru wyłącznie administracyjnego, ale przede wszystkim wymaga</w:t>
            </w:r>
            <w:r w:rsidR="004C0172">
              <w:rPr>
                <w:rFonts w:ascii="Times New Roman" w:hAnsi="Times New Roman"/>
                <w:color w:val="000000"/>
              </w:rPr>
              <w:t xml:space="preserve"> </w:t>
            </w:r>
            <w:r w:rsidRPr="00D12317">
              <w:rPr>
                <w:rFonts w:ascii="Times New Roman" w:hAnsi="Times New Roman"/>
                <w:color w:val="000000"/>
              </w:rPr>
              <w:t xml:space="preserve">eksperckiej wiedzy w zakresie m.in. ekonomii, wytwarzania energii elektrycznej i ciepła w skojarzeniu, technicznych aspektów wytwarzania ciepła, uwarunkowań rynków energii elektrycznej i ciepła, uwarunkowań prawnych prowadzenia działalności w zakresie wytwarzania energii elektrycznej i ciepła. W związku z powyższym, niezbędne jest zatrudnienie pracowników na </w:t>
            </w:r>
            <w:r>
              <w:rPr>
                <w:rFonts w:ascii="Times New Roman" w:hAnsi="Times New Roman"/>
                <w:color w:val="000000"/>
              </w:rPr>
              <w:t xml:space="preserve">tych </w:t>
            </w:r>
            <w:r w:rsidRPr="00D12317">
              <w:rPr>
                <w:rFonts w:ascii="Times New Roman" w:hAnsi="Times New Roman"/>
                <w:color w:val="000000"/>
              </w:rPr>
              <w:t>stanowiskach na odpowiednim poziomie.</w:t>
            </w:r>
          </w:p>
          <w:p w14:paraId="2BE83D38" w14:textId="262DDCDC" w:rsidR="002B147C" w:rsidRPr="00D12317" w:rsidRDefault="002B147C" w:rsidP="002B147C">
            <w:pPr>
              <w:spacing w:line="240" w:lineRule="auto"/>
              <w:jc w:val="both"/>
              <w:rPr>
                <w:rFonts w:ascii="Times New Roman" w:hAnsi="Times New Roman"/>
                <w:color w:val="000000"/>
              </w:rPr>
            </w:pPr>
            <w:r w:rsidRPr="00D12317">
              <w:rPr>
                <w:rFonts w:ascii="Times New Roman" w:hAnsi="Times New Roman"/>
                <w:color w:val="000000"/>
              </w:rPr>
              <w:t>Na wydatki budżetowe związane z utworzeniem i funkcjonowaniem stanowisk pracy dla osób odpowiedzialnych za obsługę</w:t>
            </w:r>
            <w:r>
              <w:rPr>
                <w:rFonts w:ascii="Times New Roman" w:hAnsi="Times New Roman"/>
                <w:color w:val="000000"/>
              </w:rPr>
              <w:t xml:space="preserve"> </w:t>
            </w:r>
            <w:r w:rsidRPr="00332D81">
              <w:rPr>
                <w:rFonts w:ascii="Times New Roman" w:hAnsi="Times New Roman"/>
                <w:color w:val="000000"/>
              </w:rPr>
              <w:t>wniosk</w:t>
            </w:r>
            <w:r>
              <w:rPr>
                <w:rFonts w:ascii="Times New Roman" w:hAnsi="Times New Roman"/>
                <w:color w:val="000000"/>
              </w:rPr>
              <w:t>ów</w:t>
            </w:r>
            <w:r w:rsidRPr="00332D81">
              <w:rPr>
                <w:rFonts w:ascii="Times New Roman" w:hAnsi="Times New Roman"/>
                <w:color w:val="000000"/>
              </w:rPr>
              <w:t xml:space="preserve"> </w:t>
            </w:r>
            <w:r>
              <w:rPr>
                <w:rFonts w:ascii="Times New Roman" w:hAnsi="Times New Roman"/>
                <w:color w:val="000000"/>
              </w:rPr>
              <w:t>o</w:t>
            </w:r>
            <w:r w:rsidRPr="00332D81">
              <w:rPr>
                <w:rFonts w:ascii="Times New Roman" w:hAnsi="Times New Roman"/>
                <w:color w:val="000000"/>
              </w:rPr>
              <w:t xml:space="preserve"> uzgodnienie planu rozwoju w części przewidującej, że system ciepłowniczy danego przedsiębiorstwa będzie spełniał w terminie do 31 grudnia 2025 r. warunki uznania za efektywny energetycznie system ciepłowniczy</w:t>
            </w:r>
            <w:r w:rsidRPr="00D12317">
              <w:rPr>
                <w:rFonts w:ascii="Times New Roman" w:hAnsi="Times New Roman"/>
                <w:color w:val="000000"/>
              </w:rPr>
              <w:t xml:space="preserve"> </w:t>
            </w:r>
            <w:r>
              <w:rPr>
                <w:rFonts w:ascii="Times New Roman" w:hAnsi="Times New Roman"/>
                <w:color w:val="000000"/>
              </w:rPr>
              <w:t>oraz obsługę dodatkowej sprawozdawczości</w:t>
            </w:r>
            <w:r w:rsidR="004C0172">
              <w:rPr>
                <w:rFonts w:ascii="Times New Roman" w:hAnsi="Times New Roman"/>
                <w:color w:val="000000"/>
              </w:rPr>
              <w:t xml:space="preserve"> </w:t>
            </w:r>
            <w:r w:rsidRPr="00D12317">
              <w:rPr>
                <w:rFonts w:ascii="Times New Roman" w:hAnsi="Times New Roman"/>
                <w:color w:val="000000"/>
              </w:rPr>
              <w:t>składają się następujące grupy kosztów:</w:t>
            </w:r>
          </w:p>
          <w:p w14:paraId="07815282" w14:textId="77777777"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koszty wynagrodzeń i pochodnych od wynagrodzeń pracowników zatrudnionych do zapewnienia obsługi systemu;</w:t>
            </w:r>
          </w:p>
          <w:p w14:paraId="0746EB72" w14:textId="77777777"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koszty utrzymania stanowisk pracy - koszty stałe, uwzględniające wydatki m.in. na badania, ZFŚS itp.;</w:t>
            </w:r>
          </w:p>
          <w:p w14:paraId="46C319F4" w14:textId="49BD7DC8" w:rsidR="002B147C" w:rsidRPr="00D12317" w:rsidRDefault="002B147C" w:rsidP="002B147C">
            <w:pPr>
              <w:pStyle w:val="Akapitzlist"/>
              <w:numPr>
                <w:ilvl w:val="0"/>
                <w:numId w:val="153"/>
              </w:numPr>
              <w:spacing w:after="120" w:line="240" w:lineRule="auto"/>
              <w:ind w:left="510"/>
              <w:jc w:val="both"/>
              <w:rPr>
                <w:rFonts w:ascii="Times New Roman" w:hAnsi="Times New Roman"/>
                <w:color w:val="000000"/>
              </w:rPr>
            </w:pPr>
            <w:r w:rsidRPr="00D12317">
              <w:rPr>
                <w:rFonts w:ascii="Times New Roman" w:hAnsi="Times New Roman"/>
                <w:color w:val="000000"/>
              </w:rPr>
              <w:t>dodatkowo, uwzględniono koszty wynajmu powierzchni biurowej.</w:t>
            </w:r>
          </w:p>
          <w:p w14:paraId="45C77F8E" w14:textId="77777777" w:rsidR="002B147C" w:rsidRPr="00D12317" w:rsidRDefault="002B147C" w:rsidP="002B147C">
            <w:pPr>
              <w:spacing w:line="240" w:lineRule="auto"/>
              <w:jc w:val="both"/>
              <w:rPr>
                <w:rFonts w:ascii="Times New Roman" w:hAnsi="Times New Roman"/>
                <w:color w:val="000000"/>
              </w:rPr>
            </w:pPr>
            <w:r w:rsidRPr="00D12317">
              <w:rPr>
                <w:rFonts w:ascii="Times New Roman" w:hAnsi="Times New Roman"/>
                <w:color w:val="000000"/>
              </w:rPr>
              <w:t>W szacowaniu wysokości wydatków budżetu państwa z tytułu wynagrodzeń przyjęto następujące założenia:</w:t>
            </w:r>
          </w:p>
          <w:p w14:paraId="1175433B" w14:textId="5A9EE869"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lastRenderedPageBreak/>
              <w:t>konieczność utworzenia</w:t>
            </w:r>
            <w:r w:rsidR="004C0172">
              <w:rPr>
                <w:rFonts w:ascii="Times New Roman" w:hAnsi="Times New Roman"/>
                <w:color w:val="000000"/>
              </w:rPr>
              <w:t xml:space="preserve"> </w:t>
            </w:r>
            <w:r>
              <w:rPr>
                <w:rFonts w:ascii="Times New Roman" w:hAnsi="Times New Roman"/>
                <w:color w:val="000000"/>
              </w:rPr>
              <w:t>3</w:t>
            </w:r>
            <w:r w:rsidRPr="00D12317">
              <w:rPr>
                <w:rFonts w:ascii="Times New Roman" w:hAnsi="Times New Roman"/>
                <w:color w:val="000000"/>
              </w:rPr>
              <w:t xml:space="preserve"> etatów w URE (na poziomie</w:t>
            </w:r>
            <w:r w:rsidR="004C0172">
              <w:rPr>
                <w:rFonts w:ascii="Times New Roman" w:hAnsi="Times New Roman"/>
                <w:color w:val="000000"/>
              </w:rPr>
              <w:t xml:space="preserve"> </w:t>
            </w:r>
            <w:r w:rsidRPr="00D12317">
              <w:rPr>
                <w:rFonts w:ascii="Times New Roman" w:hAnsi="Times New Roman"/>
                <w:color w:val="000000"/>
              </w:rPr>
              <w:t>głównych specjalistów) z uwagi na konieczność pozyskania wyspecjalizowanych pracowników;</w:t>
            </w:r>
          </w:p>
          <w:p w14:paraId="5AA0DD56" w14:textId="33D0120F"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t>szacunkowy łączny koszt wynagrodzeń osób zatrudnionych na ww. stanowiskach (wraz z pochodnymi) oszacowano na poziomie:</w:t>
            </w:r>
            <w:r w:rsidR="004C0172">
              <w:rPr>
                <w:rFonts w:ascii="Times New Roman" w:hAnsi="Times New Roman"/>
                <w:color w:val="000000"/>
              </w:rPr>
              <w:t xml:space="preserve"> </w:t>
            </w:r>
            <w:r>
              <w:rPr>
                <w:rFonts w:ascii="Times New Roman" w:hAnsi="Times New Roman"/>
                <w:color w:val="000000"/>
              </w:rPr>
              <w:t>541 200</w:t>
            </w:r>
            <w:r w:rsidRPr="00D12317">
              <w:rPr>
                <w:rFonts w:ascii="Times New Roman" w:hAnsi="Times New Roman"/>
                <w:color w:val="000000"/>
              </w:rPr>
              <w:t xml:space="preserve"> zł w 202</w:t>
            </w:r>
            <w:r>
              <w:rPr>
                <w:rFonts w:ascii="Times New Roman" w:hAnsi="Times New Roman"/>
                <w:color w:val="000000"/>
              </w:rPr>
              <w:t xml:space="preserve">3 </w:t>
            </w:r>
            <w:r w:rsidRPr="00D12317">
              <w:rPr>
                <w:rFonts w:ascii="Times New Roman" w:hAnsi="Times New Roman"/>
                <w:color w:val="000000"/>
              </w:rPr>
              <w:t>r. (w przypadku URE). Szacując wydatki na ten cel w latach następnych 202</w:t>
            </w:r>
            <w:r>
              <w:rPr>
                <w:rFonts w:ascii="Times New Roman" w:hAnsi="Times New Roman"/>
                <w:color w:val="000000"/>
              </w:rPr>
              <w:t>4</w:t>
            </w:r>
            <w:r w:rsidRPr="00D12317">
              <w:rPr>
                <w:rFonts w:ascii="Times New Roman" w:hAnsi="Times New Roman"/>
                <w:color w:val="000000"/>
              </w:rPr>
              <w:t xml:space="preserve"> - 20</w:t>
            </w:r>
            <w:r>
              <w:rPr>
                <w:rFonts w:ascii="Times New Roman" w:hAnsi="Times New Roman"/>
                <w:color w:val="000000"/>
              </w:rPr>
              <w:t>32</w:t>
            </w:r>
            <w:r w:rsidRPr="00D12317">
              <w:rPr>
                <w:rFonts w:ascii="Times New Roman" w:hAnsi="Times New Roman"/>
                <w:color w:val="000000"/>
              </w:rPr>
              <w:t xml:space="preserve"> uwzględniono roczny wzrost wynagrodzenia</w:t>
            </w:r>
            <w:r w:rsidR="00461877">
              <w:rPr>
                <w:rFonts w:ascii="Times New Roman" w:hAnsi="Times New Roman"/>
                <w:color w:val="000000"/>
              </w:rPr>
              <w:t xml:space="preserve"> (waloryzacja)</w:t>
            </w:r>
            <w:r w:rsidRPr="00D12317">
              <w:rPr>
                <w:rFonts w:ascii="Times New Roman" w:hAnsi="Times New Roman"/>
                <w:color w:val="000000"/>
              </w:rPr>
              <w:t xml:space="preserve"> zgodnie z wytycznymi dotyczącymi stosowania jednolitych wskaźników makroekonomicznych będących podstawą oszacowania skutków finansowych projektowanych ustaw na poziomie </w:t>
            </w:r>
            <w:r>
              <w:rPr>
                <w:rFonts w:ascii="Times New Roman" w:hAnsi="Times New Roman"/>
                <w:color w:val="000000"/>
              </w:rPr>
              <w:t>2,5%</w:t>
            </w:r>
            <w:r w:rsidRPr="00D12317">
              <w:rPr>
                <w:rFonts w:ascii="Times New Roman" w:hAnsi="Times New Roman"/>
                <w:color w:val="000000"/>
              </w:rPr>
              <w:t>;</w:t>
            </w:r>
          </w:p>
          <w:p w14:paraId="68582134" w14:textId="0F0EC0A4" w:rsidR="002B147C" w:rsidRPr="00D12317" w:rsidRDefault="002B147C" w:rsidP="002B147C">
            <w:pPr>
              <w:pStyle w:val="Akapitzlist"/>
              <w:numPr>
                <w:ilvl w:val="0"/>
                <w:numId w:val="152"/>
              </w:numPr>
              <w:spacing w:after="120" w:line="240" w:lineRule="auto"/>
              <w:ind w:left="510"/>
              <w:jc w:val="both"/>
              <w:rPr>
                <w:rFonts w:ascii="Times New Roman" w:hAnsi="Times New Roman"/>
                <w:color w:val="000000"/>
              </w:rPr>
            </w:pPr>
            <w:r w:rsidRPr="00D12317">
              <w:rPr>
                <w:rFonts w:ascii="Times New Roman" w:hAnsi="Times New Roman"/>
                <w:color w:val="000000"/>
              </w:rPr>
              <w:t>uwzględniono dodatkowe wynagrodzenie roczne naliczone od wynagrodzeń i uwzględnione od 202</w:t>
            </w:r>
            <w:r>
              <w:rPr>
                <w:rFonts w:ascii="Times New Roman" w:hAnsi="Times New Roman"/>
                <w:color w:val="000000"/>
              </w:rPr>
              <w:t>4</w:t>
            </w:r>
            <w:r w:rsidRPr="00D12317">
              <w:rPr>
                <w:rFonts w:ascii="Times New Roman" w:hAnsi="Times New Roman"/>
                <w:color w:val="000000"/>
              </w:rPr>
              <w:t xml:space="preserve"> roku</w:t>
            </w:r>
            <w:r w:rsidR="001660DF">
              <w:rPr>
                <w:rFonts w:ascii="Times New Roman" w:hAnsi="Times New Roman"/>
                <w:color w:val="000000"/>
              </w:rPr>
              <w:t>.</w:t>
            </w:r>
            <w:r w:rsidRPr="00D12317">
              <w:rPr>
                <w:rFonts w:ascii="Times New Roman" w:hAnsi="Times New Roman"/>
                <w:color w:val="000000"/>
              </w:rPr>
              <w:t xml:space="preserve"> </w:t>
            </w:r>
          </w:p>
          <w:p w14:paraId="17FEB67D" w14:textId="3DFDEBE7" w:rsidR="002B147C" w:rsidRDefault="002B147C" w:rsidP="002B147C">
            <w:pPr>
              <w:spacing w:after="120" w:line="240" w:lineRule="auto"/>
              <w:jc w:val="both"/>
              <w:rPr>
                <w:rFonts w:ascii="Times New Roman" w:hAnsi="Times New Roman"/>
                <w:color w:val="000000"/>
              </w:rPr>
            </w:pPr>
            <w:r w:rsidRPr="00D12317">
              <w:rPr>
                <w:rFonts w:ascii="Times New Roman" w:hAnsi="Times New Roman"/>
                <w:color w:val="000000"/>
              </w:rPr>
              <w:t>W tabel</w:t>
            </w:r>
            <w:r>
              <w:rPr>
                <w:rFonts w:ascii="Times New Roman" w:hAnsi="Times New Roman"/>
                <w:color w:val="000000"/>
              </w:rPr>
              <w:t>ach</w:t>
            </w:r>
            <w:r w:rsidRPr="00D12317">
              <w:rPr>
                <w:rFonts w:ascii="Times New Roman" w:hAnsi="Times New Roman"/>
                <w:color w:val="000000"/>
              </w:rPr>
              <w:t xml:space="preserve"> poniżej przedstawiono zestawienie kosztów ponoszonych z tytułu wynagrodzeń </w:t>
            </w:r>
            <w:r>
              <w:rPr>
                <w:rFonts w:ascii="Times New Roman" w:hAnsi="Times New Roman"/>
                <w:color w:val="000000"/>
              </w:rPr>
              <w:t>od</w:t>
            </w:r>
            <w:r w:rsidRPr="00D12317">
              <w:rPr>
                <w:rFonts w:ascii="Times New Roman" w:hAnsi="Times New Roman"/>
                <w:color w:val="000000"/>
              </w:rPr>
              <w:t xml:space="preserve"> 202</w:t>
            </w:r>
            <w:r>
              <w:rPr>
                <w:rFonts w:ascii="Times New Roman" w:hAnsi="Times New Roman"/>
                <w:color w:val="000000"/>
              </w:rPr>
              <w:t>3</w:t>
            </w:r>
            <w:r w:rsidRPr="00D12317">
              <w:rPr>
                <w:rFonts w:ascii="Times New Roman" w:hAnsi="Times New Roman"/>
                <w:color w:val="000000"/>
              </w:rPr>
              <w:t xml:space="preserve"> r. w URE, z uwagi na zatrudnienie pracowników na potrzeby zapewnienia funkcjonowania</w:t>
            </w:r>
            <w:r w:rsidR="004C0172">
              <w:rPr>
                <w:rFonts w:ascii="Times New Roman" w:hAnsi="Times New Roman"/>
                <w:color w:val="000000"/>
              </w:rPr>
              <w:t xml:space="preserve"> </w:t>
            </w:r>
            <w:r>
              <w:rPr>
                <w:rFonts w:ascii="Times New Roman" w:hAnsi="Times New Roman"/>
                <w:color w:val="000000"/>
              </w:rPr>
              <w:t>uzgadniania planów rozwoju i dodatkowej sprawozdawczości</w:t>
            </w:r>
            <w:r w:rsidRPr="00D12317">
              <w:rPr>
                <w:rFonts w:ascii="Times New Roman" w:hAnsi="Times New Roman"/>
                <w:color w:val="000000"/>
              </w:rPr>
              <w:t>.</w:t>
            </w:r>
          </w:p>
          <w:p w14:paraId="59BA06D4" w14:textId="514FC18D" w:rsidR="00C06CF0" w:rsidRDefault="00C06CF0" w:rsidP="00C06CF0">
            <w:pPr>
              <w:spacing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8</w:t>
            </w:r>
            <w:r w:rsidRPr="004B458B">
              <w:rPr>
                <w:rFonts w:ascii="Times New Roman" w:hAnsi="Times New Roman"/>
                <w:color w:val="000000"/>
              </w:rPr>
              <w:t xml:space="preserve">. Planowane koszty URE od 2023 r. wynikające z zatrudnienia </w:t>
            </w:r>
            <w:r w:rsidR="002B147C">
              <w:rPr>
                <w:rFonts w:ascii="Times New Roman" w:hAnsi="Times New Roman"/>
                <w:color w:val="000000"/>
              </w:rPr>
              <w:t>trzech</w:t>
            </w:r>
            <w:r w:rsidRPr="004B458B">
              <w:rPr>
                <w:rFonts w:ascii="Times New Roman" w:hAnsi="Times New Roman"/>
                <w:color w:val="000000"/>
              </w:rPr>
              <w:t xml:space="preserve"> (</w:t>
            </w:r>
            <w:r w:rsidR="002B147C">
              <w:rPr>
                <w:rFonts w:ascii="Times New Roman" w:hAnsi="Times New Roman"/>
                <w:color w:val="000000"/>
              </w:rPr>
              <w:t>3</w:t>
            </w:r>
            <w:r w:rsidRPr="004B458B">
              <w:rPr>
                <w:rFonts w:ascii="Times New Roman" w:hAnsi="Times New Roman"/>
                <w:color w:val="000000"/>
              </w:rPr>
              <w:t>) nowych pracowników</w:t>
            </w:r>
            <w:r w:rsidR="00AF1C2E" w:rsidRPr="004B458B">
              <w:rPr>
                <w:rFonts w:ascii="Times New Roman" w:hAnsi="Times New Roman"/>
                <w:color w:val="000000"/>
              </w:rPr>
              <w:t xml:space="preserve"> w obszarze ciepłownictwa i chłodnictwa</w:t>
            </w:r>
            <w:r w:rsidR="005B738B">
              <w:rPr>
                <w:rFonts w:ascii="Times New Roman" w:hAnsi="Times New Roman"/>
                <w:color w:val="000000"/>
              </w:rPr>
              <w:t>.</w:t>
            </w:r>
          </w:p>
          <w:p w14:paraId="05817F33" w14:textId="77777777" w:rsidR="005B738B" w:rsidRPr="004B458B" w:rsidRDefault="005B738B" w:rsidP="00C06CF0">
            <w:pPr>
              <w:spacing w:line="240" w:lineRule="auto"/>
              <w:rPr>
                <w:rFonts w:ascii="Times New Roman" w:hAnsi="Times New Roman"/>
                <w:color w:val="000000"/>
              </w:rPr>
            </w:pP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C06CF0" w:rsidRPr="00EA3A71" w14:paraId="3B5DCFAA" w14:textId="77777777" w:rsidTr="00786EA2">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0A4D5C5"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5EA9CFD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3974CD0"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E6A9C02"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AEFC766"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0BC1899F"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AC94C1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778D217"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1209DFD"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B59C063"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D3668C3"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hAnsi="Times New Roman"/>
                      <w:b/>
                      <w:bCs/>
                      <w:color w:val="000000"/>
                      <w:sz w:val="18"/>
                      <w:szCs w:val="18"/>
                    </w:rPr>
                    <w:t>2032</w:t>
                  </w:r>
                </w:p>
              </w:tc>
            </w:tr>
            <w:tr w:rsidR="00C06CF0" w:rsidRPr="00EA3A71" w14:paraId="52726331"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18F489E5"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85AE78F" w14:textId="77777777" w:rsidR="00C06CF0" w:rsidRPr="00EA3A71" w:rsidRDefault="00C06CF0" w:rsidP="00C06CF0">
                  <w:pPr>
                    <w:spacing w:line="240" w:lineRule="auto"/>
                    <w:jc w:val="center"/>
                    <w:rPr>
                      <w:rFonts w:ascii="Times New Roman" w:eastAsia="Times New Roman" w:hAnsi="Times New Roman"/>
                      <w:b/>
                      <w:bCs/>
                      <w:color w:val="000000"/>
                      <w:sz w:val="18"/>
                      <w:szCs w:val="18"/>
                      <w:lang w:eastAsia="pl-PL"/>
                    </w:rPr>
                  </w:pPr>
                  <w:r w:rsidRPr="00EA3A71">
                    <w:rPr>
                      <w:rFonts w:ascii="Times New Roman" w:eastAsia="Times New Roman" w:hAnsi="Times New Roman"/>
                      <w:b/>
                      <w:bCs/>
                      <w:color w:val="000000"/>
                      <w:sz w:val="18"/>
                      <w:szCs w:val="18"/>
                      <w:lang w:eastAsia="pl-PL"/>
                    </w:rPr>
                    <w:t>Koszty w zł</w:t>
                  </w:r>
                </w:p>
              </w:tc>
            </w:tr>
            <w:tr w:rsidR="00611BCB" w:rsidRPr="00EA3A71" w14:paraId="33F681ED" w14:textId="77777777" w:rsidTr="006C01DB">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09542D97" w14:textId="77777777" w:rsidR="00611BCB" w:rsidRPr="00EA3A71" w:rsidRDefault="00611BCB" w:rsidP="00611BCB">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1</w:t>
                  </w:r>
                </w:p>
              </w:tc>
              <w:tc>
                <w:tcPr>
                  <w:tcW w:w="767" w:type="dxa"/>
                  <w:tcBorders>
                    <w:top w:val="nil"/>
                    <w:left w:val="nil"/>
                    <w:bottom w:val="single" w:sz="8" w:space="0" w:color="auto"/>
                    <w:right w:val="single" w:sz="8" w:space="0" w:color="auto"/>
                  </w:tcBorders>
                  <w:shd w:val="clear" w:color="auto" w:fill="auto"/>
                  <w:noWrap/>
                </w:tcPr>
                <w:p w14:paraId="7D65A4B6" w14:textId="3087A7F4"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120</w:t>
                  </w:r>
                  <w:r>
                    <w:rPr>
                      <w:rFonts w:ascii="Times New Roman" w:hAnsi="Times New Roman"/>
                      <w:sz w:val="18"/>
                      <w:szCs w:val="18"/>
                    </w:rPr>
                    <w:t> </w:t>
                  </w:r>
                  <w:r w:rsidRPr="00AA3CBC">
                    <w:rPr>
                      <w:rFonts w:ascii="Times New Roman" w:hAnsi="Times New Roman"/>
                      <w:sz w:val="18"/>
                      <w:szCs w:val="18"/>
                    </w:rPr>
                    <w:t>000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3F6CD66C" w14:textId="29237DCF"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90</w:t>
                  </w:r>
                  <w:r>
                    <w:rPr>
                      <w:rFonts w:ascii="Times New Roman" w:hAnsi="Times New Roman"/>
                      <w:sz w:val="18"/>
                      <w:szCs w:val="18"/>
                    </w:rPr>
                    <w:t> </w:t>
                  </w:r>
                  <w:r w:rsidRPr="00AA3CBC">
                    <w:rPr>
                      <w:rFonts w:ascii="Times New Roman" w:hAnsi="Times New Roman"/>
                      <w:sz w:val="18"/>
                      <w:szCs w:val="18"/>
                    </w:rPr>
                    <w:t>000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4D6AD443" w14:textId="3E10D26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92</w:t>
                  </w:r>
                  <w:r>
                    <w:rPr>
                      <w:rFonts w:ascii="Times New Roman" w:hAnsi="Times New Roman"/>
                      <w:sz w:val="18"/>
                      <w:szCs w:val="18"/>
                    </w:rPr>
                    <w:t> </w:t>
                  </w:r>
                  <w:r w:rsidRPr="00AA3CBC">
                    <w:rPr>
                      <w:rFonts w:ascii="Times New Roman" w:hAnsi="Times New Roman"/>
                      <w:sz w:val="18"/>
                      <w:szCs w:val="18"/>
                    </w:rPr>
                    <w:t>250</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165DDED1" w14:textId="6EF5AC7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94</w:t>
                  </w:r>
                  <w:r>
                    <w:rPr>
                      <w:rFonts w:ascii="Times New Roman" w:hAnsi="Times New Roman"/>
                      <w:sz w:val="18"/>
                      <w:szCs w:val="18"/>
                    </w:rPr>
                    <w:t> </w:t>
                  </w:r>
                  <w:r w:rsidRPr="00AA3CBC">
                    <w:rPr>
                      <w:rFonts w:ascii="Times New Roman" w:hAnsi="Times New Roman"/>
                      <w:sz w:val="18"/>
                      <w:szCs w:val="18"/>
                    </w:rPr>
                    <w:t>557</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2A39AE8D" w14:textId="4D194A7D"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109</w:t>
                  </w:r>
                  <w:r>
                    <w:rPr>
                      <w:rFonts w:ascii="Times New Roman" w:hAnsi="Times New Roman"/>
                      <w:sz w:val="18"/>
                      <w:szCs w:val="18"/>
                    </w:rPr>
                    <w:t> </w:t>
                  </w:r>
                  <w:r w:rsidRPr="00AA3CBC">
                    <w:rPr>
                      <w:rFonts w:ascii="Times New Roman" w:hAnsi="Times New Roman"/>
                      <w:sz w:val="18"/>
                      <w:szCs w:val="18"/>
                    </w:rPr>
                    <w:t>557</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01EA1AAA" w14:textId="0F8C8B0A"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99</w:t>
                  </w:r>
                  <w:r>
                    <w:rPr>
                      <w:rFonts w:ascii="Times New Roman" w:hAnsi="Times New Roman"/>
                      <w:sz w:val="18"/>
                      <w:szCs w:val="18"/>
                    </w:rPr>
                    <w:t> </w:t>
                  </w:r>
                  <w:r w:rsidRPr="00AA3CBC">
                    <w:rPr>
                      <w:rFonts w:ascii="Times New Roman" w:hAnsi="Times New Roman"/>
                      <w:sz w:val="18"/>
                      <w:szCs w:val="18"/>
                    </w:rPr>
                    <w:t>342</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0D0D8B28" w14:textId="372B54B3"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101</w:t>
                  </w:r>
                  <w:r>
                    <w:rPr>
                      <w:rFonts w:ascii="Times New Roman" w:hAnsi="Times New Roman"/>
                      <w:sz w:val="18"/>
                      <w:szCs w:val="18"/>
                    </w:rPr>
                    <w:t> </w:t>
                  </w:r>
                  <w:r w:rsidRPr="00AA3CBC">
                    <w:rPr>
                      <w:rFonts w:ascii="Times New Roman" w:hAnsi="Times New Roman"/>
                      <w:sz w:val="18"/>
                      <w:szCs w:val="18"/>
                    </w:rPr>
                    <w:t>826</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5BA03521" w14:textId="5453FB6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104</w:t>
                  </w:r>
                  <w:r>
                    <w:rPr>
                      <w:rFonts w:ascii="Times New Roman" w:hAnsi="Times New Roman"/>
                      <w:sz w:val="18"/>
                      <w:szCs w:val="18"/>
                    </w:rPr>
                    <w:t> </w:t>
                  </w:r>
                  <w:r w:rsidRPr="00AA3CBC">
                    <w:rPr>
                      <w:rFonts w:ascii="Times New Roman" w:hAnsi="Times New Roman"/>
                      <w:sz w:val="18"/>
                      <w:szCs w:val="18"/>
                    </w:rPr>
                    <w:t>373</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2C231B48" w14:textId="1F8F8EE3"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127</w:t>
                  </w:r>
                  <w:r>
                    <w:rPr>
                      <w:rFonts w:ascii="Times New Roman" w:hAnsi="Times New Roman"/>
                      <w:sz w:val="18"/>
                      <w:szCs w:val="18"/>
                    </w:rPr>
                    <w:t> </w:t>
                  </w:r>
                  <w:r w:rsidRPr="00AA3CBC">
                    <w:rPr>
                      <w:rFonts w:ascii="Times New Roman" w:hAnsi="Times New Roman"/>
                      <w:sz w:val="18"/>
                      <w:szCs w:val="18"/>
                    </w:rPr>
                    <w:t>983</w:t>
                  </w:r>
                  <w:r>
                    <w:rPr>
                      <w:rFonts w:ascii="Times New Roman" w:hAnsi="Times New Roman"/>
                      <w:sz w:val="18"/>
                      <w:szCs w:val="18"/>
                    </w:rPr>
                    <w:t xml:space="preserve"> </w:t>
                  </w:r>
                </w:p>
              </w:tc>
              <w:tc>
                <w:tcPr>
                  <w:tcW w:w="720" w:type="dxa"/>
                  <w:tcBorders>
                    <w:top w:val="nil"/>
                    <w:left w:val="nil"/>
                    <w:bottom w:val="single" w:sz="8" w:space="0" w:color="auto"/>
                    <w:right w:val="single" w:sz="8" w:space="0" w:color="auto"/>
                  </w:tcBorders>
                  <w:shd w:val="clear" w:color="auto" w:fill="auto"/>
                  <w:noWrap/>
                </w:tcPr>
                <w:p w14:paraId="59DA5DB7" w14:textId="234CA0C8"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109</w:t>
                  </w:r>
                  <w:r>
                    <w:rPr>
                      <w:rFonts w:ascii="Times New Roman" w:hAnsi="Times New Roman"/>
                      <w:sz w:val="18"/>
                      <w:szCs w:val="18"/>
                    </w:rPr>
                    <w:t> </w:t>
                  </w:r>
                  <w:r w:rsidRPr="00AA3CBC">
                    <w:rPr>
                      <w:rFonts w:ascii="Times New Roman" w:hAnsi="Times New Roman"/>
                      <w:sz w:val="18"/>
                      <w:szCs w:val="18"/>
                    </w:rPr>
                    <w:t>656</w:t>
                  </w:r>
                  <w:r>
                    <w:rPr>
                      <w:rFonts w:ascii="Times New Roman" w:hAnsi="Times New Roman"/>
                      <w:sz w:val="18"/>
                      <w:szCs w:val="18"/>
                    </w:rPr>
                    <w:t xml:space="preserve"> </w:t>
                  </w:r>
                </w:p>
              </w:tc>
            </w:tr>
            <w:tr w:rsidR="00611BCB" w:rsidRPr="00EA3A71" w14:paraId="00F849E1" w14:textId="77777777" w:rsidTr="006C01DB">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1A62A125" w14:textId="77777777" w:rsidR="00611BCB" w:rsidRPr="00EA3A71" w:rsidRDefault="00611BCB" w:rsidP="00611BCB">
                  <w:pPr>
                    <w:spacing w:line="240" w:lineRule="auto"/>
                    <w:rPr>
                      <w:rFonts w:ascii="Times New Roman" w:eastAsia="Times New Roman" w:hAnsi="Times New Roman"/>
                      <w:color w:val="000000"/>
                      <w:sz w:val="18"/>
                      <w:szCs w:val="18"/>
                      <w:lang w:eastAsia="pl-PL"/>
                    </w:rPr>
                  </w:pPr>
                  <w:r w:rsidRPr="00EA3A71">
                    <w:rPr>
                      <w:rFonts w:ascii="Times New Roman" w:eastAsia="Times New Roman" w:hAnsi="Times New Roman"/>
                      <w:color w:val="000000"/>
                      <w:sz w:val="18"/>
                      <w:szCs w:val="18"/>
                      <w:lang w:eastAsia="pl-PL"/>
                    </w:rPr>
                    <w:t>Pozycja 2</w:t>
                  </w:r>
                </w:p>
              </w:tc>
              <w:tc>
                <w:tcPr>
                  <w:tcW w:w="767" w:type="dxa"/>
                  <w:tcBorders>
                    <w:top w:val="nil"/>
                    <w:left w:val="nil"/>
                    <w:bottom w:val="single" w:sz="4" w:space="0" w:color="auto"/>
                    <w:right w:val="single" w:sz="8" w:space="0" w:color="auto"/>
                  </w:tcBorders>
                  <w:shd w:val="clear" w:color="auto" w:fill="auto"/>
                  <w:noWrap/>
                </w:tcPr>
                <w:p w14:paraId="54CCB8FE" w14:textId="79AE972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421</w:t>
                  </w:r>
                  <w:r>
                    <w:rPr>
                      <w:rFonts w:ascii="Times New Roman" w:hAnsi="Times New Roman"/>
                      <w:sz w:val="18"/>
                      <w:szCs w:val="18"/>
                    </w:rPr>
                    <w:t> </w:t>
                  </w:r>
                  <w:r w:rsidRPr="00AA3CBC">
                    <w:rPr>
                      <w:rFonts w:ascii="Times New Roman" w:hAnsi="Times New Roman"/>
                      <w:sz w:val="18"/>
                      <w:szCs w:val="18"/>
                    </w:rPr>
                    <w:t>200</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4CE1DD16" w14:textId="4DB9CF95"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466</w:t>
                  </w:r>
                  <w:r>
                    <w:rPr>
                      <w:rFonts w:ascii="Times New Roman" w:hAnsi="Times New Roman"/>
                      <w:sz w:val="18"/>
                      <w:szCs w:val="18"/>
                    </w:rPr>
                    <w:t> </w:t>
                  </w:r>
                  <w:r w:rsidRPr="00AA3CBC">
                    <w:rPr>
                      <w:rFonts w:ascii="Times New Roman" w:hAnsi="Times New Roman"/>
                      <w:sz w:val="18"/>
                      <w:szCs w:val="18"/>
                    </w:rPr>
                    <w:t>230</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0FEB75A7" w14:textId="55CDF6B9"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477</w:t>
                  </w:r>
                  <w:r>
                    <w:rPr>
                      <w:rFonts w:ascii="Times New Roman" w:hAnsi="Times New Roman"/>
                      <w:sz w:val="18"/>
                      <w:szCs w:val="18"/>
                    </w:rPr>
                    <w:t> </w:t>
                  </w:r>
                  <w:r w:rsidRPr="00AA3CBC">
                    <w:rPr>
                      <w:rFonts w:ascii="Times New Roman" w:hAnsi="Times New Roman"/>
                      <w:sz w:val="18"/>
                      <w:szCs w:val="18"/>
                    </w:rPr>
                    <w:t>886</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570D4748" w14:textId="74CCF838"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489</w:t>
                  </w:r>
                  <w:r>
                    <w:rPr>
                      <w:rFonts w:ascii="Times New Roman" w:hAnsi="Times New Roman"/>
                      <w:sz w:val="18"/>
                      <w:szCs w:val="18"/>
                    </w:rPr>
                    <w:t> </w:t>
                  </w:r>
                  <w:r w:rsidRPr="00AA3CBC">
                    <w:rPr>
                      <w:rFonts w:ascii="Times New Roman" w:hAnsi="Times New Roman"/>
                      <w:sz w:val="18"/>
                      <w:szCs w:val="18"/>
                    </w:rPr>
                    <w:t>833</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3374772A" w14:textId="2E755C3B"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502</w:t>
                  </w:r>
                  <w:r>
                    <w:rPr>
                      <w:rFonts w:ascii="Times New Roman" w:hAnsi="Times New Roman"/>
                      <w:sz w:val="18"/>
                      <w:szCs w:val="18"/>
                    </w:rPr>
                    <w:t> </w:t>
                  </w:r>
                  <w:r w:rsidRPr="00AA3CBC">
                    <w:rPr>
                      <w:rFonts w:ascii="Times New Roman" w:hAnsi="Times New Roman"/>
                      <w:sz w:val="18"/>
                      <w:szCs w:val="18"/>
                    </w:rPr>
                    <w:t>079</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160C5037" w14:textId="68988E6B"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514</w:t>
                  </w:r>
                  <w:r>
                    <w:rPr>
                      <w:rFonts w:ascii="Times New Roman" w:hAnsi="Times New Roman"/>
                      <w:sz w:val="18"/>
                      <w:szCs w:val="18"/>
                    </w:rPr>
                    <w:t> </w:t>
                  </w:r>
                  <w:r w:rsidRPr="00AA3CBC">
                    <w:rPr>
                      <w:rFonts w:ascii="Times New Roman" w:hAnsi="Times New Roman"/>
                      <w:sz w:val="18"/>
                      <w:szCs w:val="18"/>
                    </w:rPr>
                    <w:t>631</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716E0C2B" w14:textId="716AE8CE"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527</w:t>
                  </w:r>
                  <w:r>
                    <w:rPr>
                      <w:rFonts w:ascii="Times New Roman" w:hAnsi="Times New Roman"/>
                      <w:sz w:val="18"/>
                      <w:szCs w:val="18"/>
                    </w:rPr>
                    <w:t> </w:t>
                  </w:r>
                  <w:r w:rsidRPr="00AA3CBC">
                    <w:rPr>
                      <w:rFonts w:ascii="Times New Roman" w:hAnsi="Times New Roman"/>
                      <w:sz w:val="18"/>
                      <w:szCs w:val="18"/>
                    </w:rPr>
                    <w:t>497</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25D5C4AF" w14:textId="0AA4B22F"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540</w:t>
                  </w:r>
                  <w:r>
                    <w:rPr>
                      <w:rFonts w:ascii="Times New Roman" w:hAnsi="Times New Roman"/>
                      <w:sz w:val="18"/>
                      <w:szCs w:val="18"/>
                    </w:rPr>
                    <w:t> </w:t>
                  </w:r>
                  <w:r w:rsidRPr="00AA3CBC">
                    <w:rPr>
                      <w:rFonts w:ascii="Times New Roman" w:hAnsi="Times New Roman"/>
                      <w:sz w:val="18"/>
                      <w:szCs w:val="18"/>
                    </w:rPr>
                    <w:t>684</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14E7392E" w14:textId="1F69E456"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554</w:t>
                  </w:r>
                  <w:r>
                    <w:rPr>
                      <w:rFonts w:ascii="Times New Roman" w:hAnsi="Times New Roman"/>
                      <w:sz w:val="18"/>
                      <w:szCs w:val="18"/>
                    </w:rPr>
                    <w:t> </w:t>
                  </w:r>
                  <w:r w:rsidRPr="00AA3CBC">
                    <w:rPr>
                      <w:rFonts w:ascii="Times New Roman" w:hAnsi="Times New Roman"/>
                      <w:sz w:val="18"/>
                      <w:szCs w:val="18"/>
                    </w:rPr>
                    <w:t>201</w:t>
                  </w:r>
                  <w:r>
                    <w:rPr>
                      <w:rFonts w:ascii="Times New Roman" w:hAnsi="Times New Roman"/>
                      <w:sz w:val="18"/>
                      <w:szCs w:val="18"/>
                    </w:rPr>
                    <w:t xml:space="preserve"> </w:t>
                  </w:r>
                </w:p>
              </w:tc>
              <w:tc>
                <w:tcPr>
                  <w:tcW w:w="720" w:type="dxa"/>
                  <w:tcBorders>
                    <w:top w:val="nil"/>
                    <w:left w:val="nil"/>
                    <w:bottom w:val="single" w:sz="4" w:space="0" w:color="auto"/>
                    <w:right w:val="single" w:sz="8" w:space="0" w:color="auto"/>
                  </w:tcBorders>
                  <w:shd w:val="clear" w:color="auto" w:fill="auto"/>
                  <w:noWrap/>
                </w:tcPr>
                <w:p w14:paraId="058957C1" w14:textId="37F86F6C" w:rsidR="00611BCB" w:rsidRPr="00EA3A71" w:rsidRDefault="00611BCB" w:rsidP="00611BCB">
                  <w:pPr>
                    <w:spacing w:line="240" w:lineRule="auto"/>
                    <w:ind w:left="-120"/>
                    <w:jc w:val="right"/>
                    <w:rPr>
                      <w:rFonts w:ascii="Times New Roman" w:eastAsia="Times New Roman" w:hAnsi="Times New Roman"/>
                      <w:color w:val="000000"/>
                      <w:sz w:val="18"/>
                      <w:szCs w:val="18"/>
                      <w:lang w:eastAsia="pl-PL"/>
                    </w:rPr>
                  </w:pPr>
                  <w:r w:rsidRPr="00AA3CBC">
                    <w:rPr>
                      <w:rFonts w:ascii="Times New Roman" w:hAnsi="Times New Roman"/>
                      <w:sz w:val="18"/>
                      <w:szCs w:val="18"/>
                    </w:rPr>
                    <w:t>568</w:t>
                  </w:r>
                  <w:r>
                    <w:rPr>
                      <w:rFonts w:ascii="Times New Roman" w:hAnsi="Times New Roman"/>
                      <w:sz w:val="18"/>
                      <w:szCs w:val="18"/>
                    </w:rPr>
                    <w:t> </w:t>
                  </w:r>
                  <w:r w:rsidRPr="00AA3CBC">
                    <w:rPr>
                      <w:rFonts w:ascii="Times New Roman" w:hAnsi="Times New Roman"/>
                      <w:sz w:val="18"/>
                      <w:szCs w:val="18"/>
                    </w:rPr>
                    <w:t>056</w:t>
                  </w:r>
                  <w:r>
                    <w:rPr>
                      <w:rFonts w:ascii="Times New Roman" w:hAnsi="Times New Roman"/>
                      <w:sz w:val="18"/>
                      <w:szCs w:val="18"/>
                    </w:rPr>
                    <w:t xml:space="preserve"> </w:t>
                  </w:r>
                </w:p>
              </w:tc>
            </w:tr>
            <w:tr w:rsidR="00611BCB" w:rsidRPr="00EA3A71" w14:paraId="38BC6A57" w14:textId="77777777" w:rsidTr="006C01DB">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36EA25" w14:textId="77777777" w:rsidR="00611BCB" w:rsidRPr="00EA3A71" w:rsidRDefault="00611BCB" w:rsidP="00611BCB">
                  <w:pPr>
                    <w:spacing w:line="240" w:lineRule="auto"/>
                    <w:rPr>
                      <w:rFonts w:ascii="Times New Roman" w:eastAsia="Times New Roman" w:hAnsi="Times New Roman"/>
                      <w:b/>
                      <w:color w:val="000000"/>
                      <w:sz w:val="18"/>
                      <w:szCs w:val="18"/>
                      <w:lang w:eastAsia="pl-PL"/>
                    </w:rPr>
                  </w:pPr>
                  <w:r w:rsidRPr="00EA3A71">
                    <w:rPr>
                      <w:rFonts w:ascii="Times New Roman" w:eastAsia="Times New Roman" w:hAnsi="Times New Roman"/>
                      <w:b/>
                      <w:color w:val="000000"/>
                      <w:sz w:val="18"/>
                      <w:szCs w:val="18"/>
                      <w:lang w:eastAsia="pl-PL"/>
                    </w:rPr>
                    <w:t>Suma:</w:t>
                  </w:r>
                </w:p>
              </w:tc>
              <w:tc>
                <w:tcPr>
                  <w:tcW w:w="767" w:type="dxa"/>
                  <w:tcBorders>
                    <w:top w:val="single" w:sz="4" w:space="0" w:color="auto"/>
                    <w:left w:val="nil"/>
                    <w:bottom w:val="single" w:sz="8" w:space="0" w:color="auto"/>
                    <w:right w:val="single" w:sz="8" w:space="0" w:color="auto"/>
                  </w:tcBorders>
                  <w:shd w:val="clear" w:color="auto" w:fill="auto"/>
                  <w:noWrap/>
                </w:tcPr>
                <w:p w14:paraId="65C16A20" w14:textId="72418792"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541 200 </w:t>
                  </w:r>
                </w:p>
              </w:tc>
              <w:tc>
                <w:tcPr>
                  <w:tcW w:w="720" w:type="dxa"/>
                  <w:tcBorders>
                    <w:top w:val="single" w:sz="4" w:space="0" w:color="auto"/>
                    <w:left w:val="nil"/>
                    <w:bottom w:val="single" w:sz="8" w:space="0" w:color="auto"/>
                    <w:right w:val="single" w:sz="8" w:space="0" w:color="auto"/>
                  </w:tcBorders>
                  <w:shd w:val="clear" w:color="auto" w:fill="auto"/>
                  <w:noWrap/>
                </w:tcPr>
                <w:p w14:paraId="48114D61" w14:textId="708E3790"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556 230 </w:t>
                  </w:r>
                </w:p>
              </w:tc>
              <w:tc>
                <w:tcPr>
                  <w:tcW w:w="720" w:type="dxa"/>
                  <w:tcBorders>
                    <w:top w:val="single" w:sz="4" w:space="0" w:color="auto"/>
                    <w:left w:val="nil"/>
                    <w:bottom w:val="single" w:sz="8" w:space="0" w:color="auto"/>
                    <w:right w:val="single" w:sz="8" w:space="0" w:color="auto"/>
                  </w:tcBorders>
                  <w:shd w:val="clear" w:color="auto" w:fill="auto"/>
                  <w:noWrap/>
                </w:tcPr>
                <w:p w14:paraId="5AD25076" w14:textId="00E0E1A3"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570 136 </w:t>
                  </w:r>
                </w:p>
              </w:tc>
              <w:tc>
                <w:tcPr>
                  <w:tcW w:w="720" w:type="dxa"/>
                  <w:tcBorders>
                    <w:top w:val="single" w:sz="4" w:space="0" w:color="auto"/>
                    <w:left w:val="nil"/>
                    <w:bottom w:val="single" w:sz="8" w:space="0" w:color="auto"/>
                    <w:right w:val="single" w:sz="8" w:space="0" w:color="auto"/>
                  </w:tcBorders>
                  <w:shd w:val="clear" w:color="auto" w:fill="auto"/>
                  <w:noWrap/>
                </w:tcPr>
                <w:p w14:paraId="5165B0FB" w14:textId="0F3FCA6B"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584 390 </w:t>
                  </w:r>
                </w:p>
              </w:tc>
              <w:tc>
                <w:tcPr>
                  <w:tcW w:w="720" w:type="dxa"/>
                  <w:tcBorders>
                    <w:top w:val="single" w:sz="4" w:space="0" w:color="auto"/>
                    <w:left w:val="nil"/>
                    <w:bottom w:val="single" w:sz="8" w:space="0" w:color="auto"/>
                    <w:right w:val="single" w:sz="8" w:space="0" w:color="auto"/>
                  </w:tcBorders>
                  <w:shd w:val="clear" w:color="auto" w:fill="auto"/>
                  <w:noWrap/>
                </w:tcPr>
                <w:p w14:paraId="45437F86" w14:textId="0067C579"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611 636 </w:t>
                  </w:r>
                </w:p>
              </w:tc>
              <w:tc>
                <w:tcPr>
                  <w:tcW w:w="720" w:type="dxa"/>
                  <w:tcBorders>
                    <w:top w:val="single" w:sz="4" w:space="0" w:color="auto"/>
                    <w:left w:val="nil"/>
                    <w:bottom w:val="single" w:sz="8" w:space="0" w:color="auto"/>
                    <w:right w:val="single" w:sz="8" w:space="0" w:color="auto"/>
                  </w:tcBorders>
                  <w:shd w:val="clear" w:color="auto" w:fill="auto"/>
                  <w:noWrap/>
                </w:tcPr>
                <w:p w14:paraId="49801890" w14:textId="714408B8"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613 973 </w:t>
                  </w:r>
                </w:p>
              </w:tc>
              <w:tc>
                <w:tcPr>
                  <w:tcW w:w="720" w:type="dxa"/>
                  <w:tcBorders>
                    <w:top w:val="single" w:sz="4" w:space="0" w:color="auto"/>
                    <w:left w:val="nil"/>
                    <w:bottom w:val="single" w:sz="8" w:space="0" w:color="auto"/>
                    <w:right w:val="single" w:sz="8" w:space="0" w:color="auto"/>
                  </w:tcBorders>
                  <w:shd w:val="clear" w:color="auto" w:fill="auto"/>
                  <w:noWrap/>
                </w:tcPr>
                <w:p w14:paraId="523B20D5" w14:textId="1EA59079"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629 323 </w:t>
                  </w:r>
                </w:p>
              </w:tc>
              <w:tc>
                <w:tcPr>
                  <w:tcW w:w="720" w:type="dxa"/>
                  <w:tcBorders>
                    <w:top w:val="single" w:sz="4" w:space="0" w:color="auto"/>
                    <w:left w:val="nil"/>
                    <w:bottom w:val="single" w:sz="8" w:space="0" w:color="auto"/>
                    <w:right w:val="single" w:sz="8" w:space="0" w:color="auto"/>
                  </w:tcBorders>
                  <w:shd w:val="clear" w:color="auto" w:fill="auto"/>
                  <w:noWrap/>
                </w:tcPr>
                <w:p w14:paraId="41676106" w14:textId="44064774"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645 057 </w:t>
                  </w:r>
                </w:p>
              </w:tc>
              <w:tc>
                <w:tcPr>
                  <w:tcW w:w="720" w:type="dxa"/>
                  <w:tcBorders>
                    <w:top w:val="single" w:sz="4" w:space="0" w:color="auto"/>
                    <w:left w:val="nil"/>
                    <w:bottom w:val="single" w:sz="8" w:space="0" w:color="auto"/>
                    <w:right w:val="single" w:sz="8" w:space="0" w:color="auto"/>
                  </w:tcBorders>
                  <w:shd w:val="clear" w:color="auto" w:fill="auto"/>
                  <w:noWrap/>
                </w:tcPr>
                <w:p w14:paraId="3601EE42" w14:textId="7673BAEA"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682 184 </w:t>
                  </w:r>
                </w:p>
              </w:tc>
              <w:tc>
                <w:tcPr>
                  <w:tcW w:w="720" w:type="dxa"/>
                  <w:tcBorders>
                    <w:top w:val="single" w:sz="4" w:space="0" w:color="auto"/>
                    <w:left w:val="nil"/>
                    <w:bottom w:val="single" w:sz="8" w:space="0" w:color="auto"/>
                    <w:right w:val="single" w:sz="8" w:space="0" w:color="auto"/>
                  </w:tcBorders>
                  <w:shd w:val="clear" w:color="auto" w:fill="auto"/>
                  <w:noWrap/>
                </w:tcPr>
                <w:p w14:paraId="031E33F8" w14:textId="51AB298B" w:rsidR="00611BCB" w:rsidRPr="00EA3A71" w:rsidRDefault="00611BCB" w:rsidP="00611BCB">
                  <w:pPr>
                    <w:spacing w:line="240" w:lineRule="auto"/>
                    <w:ind w:left="-120"/>
                    <w:jc w:val="right"/>
                    <w:rPr>
                      <w:rFonts w:ascii="Times New Roman" w:eastAsia="Times New Roman" w:hAnsi="Times New Roman"/>
                      <w:b/>
                      <w:bCs/>
                      <w:color w:val="000000"/>
                      <w:sz w:val="18"/>
                      <w:szCs w:val="18"/>
                      <w:lang w:eastAsia="pl-PL"/>
                    </w:rPr>
                  </w:pPr>
                  <w:r w:rsidRPr="00AA3CBC">
                    <w:rPr>
                      <w:rFonts w:ascii="Times New Roman" w:hAnsi="Times New Roman"/>
                      <w:b/>
                      <w:bCs/>
                      <w:sz w:val="18"/>
                      <w:szCs w:val="18"/>
                    </w:rPr>
                    <w:t xml:space="preserve">677 712 </w:t>
                  </w:r>
                </w:p>
              </w:tc>
            </w:tr>
          </w:tbl>
          <w:p w14:paraId="44AB2FBE" w14:textId="37625B66" w:rsidR="002B147C" w:rsidRPr="00D12317" w:rsidRDefault="002B147C" w:rsidP="00611BCB">
            <w:pPr>
              <w:spacing w:before="120" w:line="240" w:lineRule="auto"/>
              <w:rPr>
                <w:rFonts w:ascii="Times New Roman" w:hAnsi="Times New Roman"/>
              </w:rPr>
            </w:pPr>
            <w:r w:rsidRPr="00D12317">
              <w:rPr>
                <w:rFonts w:ascii="Times New Roman" w:hAnsi="Times New Roman"/>
              </w:rPr>
              <w:t xml:space="preserve">Dodatkowo, </w:t>
            </w:r>
            <w:r>
              <w:rPr>
                <w:rFonts w:ascii="Times New Roman" w:hAnsi="Times New Roman"/>
              </w:rPr>
              <w:t>dla</w:t>
            </w:r>
            <w:r w:rsidR="004C0172">
              <w:rPr>
                <w:rFonts w:ascii="Times New Roman" w:hAnsi="Times New Roman"/>
              </w:rPr>
              <w:t xml:space="preserve"> </w:t>
            </w:r>
            <w:r w:rsidRPr="00D12317">
              <w:rPr>
                <w:rFonts w:ascii="Times New Roman" w:hAnsi="Times New Roman"/>
              </w:rPr>
              <w:t>URE uwzględniono koszty wynajmu powierzchni biurowej (wraz z kosztami energii elektrycznej i sprzątanie), które w 202</w:t>
            </w:r>
            <w:r>
              <w:rPr>
                <w:rFonts w:ascii="Times New Roman" w:hAnsi="Times New Roman"/>
              </w:rPr>
              <w:t>3</w:t>
            </w:r>
            <w:r w:rsidRPr="00D12317">
              <w:rPr>
                <w:rFonts w:ascii="Times New Roman" w:hAnsi="Times New Roman"/>
              </w:rPr>
              <w:t xml:space="preserve"> roku wyniosą</w:t>
            </w:r>
            <w:r w:rsidR="004C0172">
              <w:rPr>
                <w:rFonts w:ascii="Times New Roman" w:hAnsi="Times New Roman"/>
              </w:rPr>
              <w:t xml:space="preserve"> </w:t>
            </w:r>
            <w:r>
              <w:rPr>
                <w:rFonts w:ascii="Times New Roman" w:hAnsi="Times New Roman"/>
              </w:rPr>
              <w:t xml:space="preserve">120 </w:t>
            </w:r>
            <w:r w:rsidRPr="00D12317">
              <w:rPr>
                <w:rFonts w:ascii="Times New Roman" w:hAnsi="Times New Roman"/>
              </w:rPr>
              <w:t>tys. zł.</w:t>
            </w:r>
          </w:p>
          <w:p w14:paraId="314B6763" w14:textId="77777777" w:rsidR="00B86E43" w:rsidRDefault="00B86E43" w:rsidP="00B86E43">
            <w:pPr>
              <w:tabs>
                <w:tab w:val="left" w:pos="234"/>
              </w:tabs>
              <w:spacing w:before="120" w:line="240" w:lineRule="auto"/>
              <w:jc w:val="both"/>
              <w:rPr>
                <w:rFonts w:ascii="Times New Roman" w:hAnsi="Times New Roman"/>
                <w:b/>
                <w:bCs/>
                <w:color w:val="000000"/>
                <w:u w:val="single"/>
              </w:rPr>
            </w:pPr>
            <w:r>
              <w:rPr>
                <w:rFonts w:ascii="Times New Roman" w:hAnsi="Times New Roman"/>
                <w:b/>
                <w:bCs/>
                <w:color w:val="000000"/>
                <w:u w:val="single"/>
              </w:rPr>
              <w:t>III.2</w:t>
            </w:r>
            <w:r w:rsidRPr="00EE5D2D">
              <w:rPr>
                <w:rFonts w:ascii="Times New Roman" w:hAnsi="Times New Roman"/>
                <w:b/>
                <w:bCs/>
                <w:color w:val="000000"/>
                <w:u w:val="single"/>
              </w:rPr>
              <w:t>. Gwarancje pochodzenia</w:t>
            </w:r>
          </w:p>
          <w:p w14:paraId="34C9FF02" w14:textId="77777777" w:rsidR="00B86E43" w:rsidRPr="007F30C2" w:rsidRDefault="00B86E43" w:rsidP="00B86E43">
            <w:pPr>
              <w:spacing w:line="240" w:lineRule="auto"/>
              <w:jc w:val="both"/>
              <w:rPr>
                <w:rFonts w:ascii="Times New Roman" w:hAnsi="Times New Roman"/>
                <w:b/>
                <w:color w:val="000000"/>
              </w:rPr>
            </w:pPr>
            <w:r w:rsidRPr="007F30C2">
              <w:rPr>
                <w:rFonts w:ascii="Times New Roman" w:hAnsi="Times New Roman"/>
                <w:b/>
                <w:color w:val="000000"/>
              </w:rPr>
              <w:t>Pozycja 1</w:t>
            </w:r>
            <w:r>
              <w:rPr>
                <w:rFonts w:ascii="Times New Roman" w:hAnsi="Times New Roman"/>
                <w:b/>
                <w:color w:val="000000"/>
              </w:rPr>
              <w:t xml:space="preserve"> – koszty infrastruktury</w:t>
            </w:r>
            <w:r w:rsidRPr="007F30C2">
              <w:rPr>
                <w:rFonts w:ascii="Times New Roman" w:hAnsi="Times New Roman"/>
                <w:b/>
                <w:color w:val="000000"/>
              </w:rPr>
              <w:t>:</w:t>
            </w:r>
          </w:p>
          <w:p w14:paraId="4448B27D" w14:textId="77777777" w:rsidR="00B86E43" w:rsidRDefault="00B86E43" w:rsidP="00B86E43">
            <w:pPr>
              <w:spacing w:line="240" w:lineRule="auto"/>
              <w:jc w:val="both"/>
              <w:rPr>
                <w:rFonts w:ascii="Times New Roman" w:hAnsi="Times New Roman"/>
                <w:color w:val="000000"/>
              </w:rPr>
            </w:pPr>
            <w:r>
              <w:rPr>
                <w:rFonts w:ascii="Times New Roman" w:hAnsi="Times New Roman"/>
                <w:color w:val="000000"/>
              </w:rPr>
              <w:t>Koszty związane z zapewnieniem obsługi uczestnictwa URE w AIB związane są z:</w:t>
            </w:r>
          </w:p>
          <w:p w14:paraId="33F4392E" w14:textId="77777777" w:rsidR="00B86E43" w:rsidRPr="00687093" w:rsidRDefault="00B86E43" w:rsidP="00B86E43">
            <w:pPr>
              <w:spacing w:line="240" w:lineRule="auto"/>
              <w:jc w:val="both"/>
              <w:rPr>
                <w:rFonts w:ascii="Times New Roman" w:hAnsi="Times New Roman"/>
                <w:color w:val="000000"/>
              </w:rPr>
            </w:pPr>
            <w:r w:rsidRPr="00687093">
              <w:rPr>
                <w:rFonts w:ascii="Times New Roman" w:hAnsi="Times New Roman"/>
                <w:color w:val="000000"/>
              </w:rPr>
              <w:t>- wynaj</w:t>
            </w:r>
            <w:r>
              <w:rPr>
                <w:rFonts w:ascii="Times New Roman" w:hAnsi="Times New Roman"/>
                <w:color w:val="000000"/>
              </w:rPr>
              <w:t>me</w:t>
            </w:r>
            <w:r w:rsidRPr="00687093">
              <w:rPr>
                <w:rFonts w:ascii="Times New Roman" w:hAnsi="Times New Roman"/>
                <w:color w:val="000000"/>
              </w:rPr>
              <w:t>m powierzchni biurowej, koszt</w:t>
            </w:r>
            <w:r>
              <w:rPr>
                <w:rFonts w:ascii="Times New Roman" w:hAnsi="Times New Roman"/>
                <w:color w:val="000000"/>
              </w:rPr>
              <w:t>ami</w:t>
            </w:r>
            <w:r w:rsidRPr="00687093">
              <w:rPr>
                <w:rFonts w:ascii="Times New Roman" w:hAnsi="Times New Roman"/>
                <w:color w:val="000000"/>
              </w:rPr>
              <w:t xml:space="preserve"> energii elektrycznej, sprzątanie</w:t>
            </w:r>
            <w:r>
              <w:rPr>
                <w:rFonts w:ascii="Times New Roman" w:hAnsi="Times New Roman"/>
                <w:color w:val="000000"/>
              </w:rPr>
              <w:t>m</w:t>
            </w:r>
            <w:r w:rsidRPr="00687093">
              <w:rPr>
                <w:rFonts w:ascii="Times New Roman" w:hAnsi="Times New Roman"/>
                <w:color w:val="000000"/>
              </w:rPr>
              <w:t>, itp.,</w:t>
            </w:r>
          </w:p>
          <w:p w14:paraId="3B427666" w14:textId="77777777" w:rsidR="00B86E43" w:rsidRDefault="00B86E43" w:rsidP="00D579A1">
            <w:pPr>
              <w:spacing w:after="120" w:line="240" w:lineRule="auto"/>
              <w:jc w:val="both"/>
              <w:rPr>
                <w:rFonts w:ascii="Times New Roman" w:hAnsi="Times New Roman"/>
                <w:color w:val="000000"/>
              </w:rPr>
            </w:pPr>
            <w:r w:rsidRPr="00687093">
              <w:rPr>
                <w:rFonts w:ascii="Times New Roman" w:hAnsi="Times New Roman"/>
                <w:color w:val="000000"/>
              </w:rPr>
              <w:t>- utworzeni</w:t>
            </w:r>
            <w:r>
              <w:rPr>
                <w:rFonts w:ascii="Times New Roman" w:hAnsi="Times New Roman"/>
                <w:color w:val="000000"/>
              </w:rPr>
              <w:t>e</w:t>
            </w:r>
            <w:r w:rsidRPr="00687093">
              <w:rPr>
                <w:rFonts w:ascii="Times New Roman" w:hAnsi="Times New Roman"/>
                <w:color w:val="000000"/>
              </w:rPr>
              <w:t xml:space="preserve"> stanowisk</w:t>
            </w:r>
            <w:r>
              <w:rPr>
                <w:rFonts w:ascii="Times New Roman" w:hAnsi="Times New Roman"/>
                <w:color w:val="000000"/>
              </w:rPr>
              <w:t>a</w:t>
            </w:r>
            <w:r w:rsidRPr="00687093">
              <w:rPr>
                <w:rFonts w:ascii="Times New Roman" w:hAnsi="Times New Roman"/>
                <w:color w:val="000000"/>
              </w:rPr>
              <w:t xml:space="preserve"> pracy (w tym </w:t>
            </w:r>
            <w:r>
              <w:rPr>
                <w:rFonts w:ascii="Times New Roman" w:hAnsi="Times New Roman"/>
                <w:color w:val="000000"/>
              </w:rPr>
              <w:t xml:space="preserve">niezbędnej </w:t>
            </w:r>
            <w:r w:rsidRPr="00687093">
              <w:rPr>
                <w:rFonts w:ascii="Times New Roman" w:hAnsi="Times New Roman"/>
                <w:color w:val="000000"/>
              </w:rPr>
              <w:t>infrastruktury) oraz jej utrzymania (szkolenia</w:t>
            </w:r>
            <w:r>
              <w:rPr>
                <w:rFonts w:ascii="Times New Roman" w:hAnsi="Times New Roman"/>
                <w:color w:val="000000"/>
              </w:rPr>
              <w:t>, itp.</w:t>
            </w:r>
            <w:r w:rsidRPr="00687093">
              <w:rPr>
                <w:rFonts w:ascii="Times New Roman" w:hAnsi="Times New Roman"/>
                <w:color w:val="000000"/>
              </w:rPr>
              <w:t>)</w:t>
            </w:r>
            <w:r>
              <w:rPr>
                <w:rFonts w:ascii="Times New Roman" w:hAnsi="Times New Roman"/>
                <w:color w:val="000000"/>
              </w:rPr>
              <w:t>.</w:t>
            </w:r>
          </w:p>
          <w:p w14:paraId="7FC4F4FA" w14:textId="77777777" w:rsidR="00B86E43" w:rsidRPr="007F30C2" w:rsidRDefault="00B86E43" w:rsidP="00B86E43">
            <w:pPr>
              <w:spacing w:line="240" w:lineRule="auto"/>
              <w:jc w:val="both"/>
              <w:rPr>
                <w:rFonts w:ascii="Times New Roman" w:hAnsi="Times New Roman"/>
                <w:b/>
                <w:color w:val="000000"/>
              </w:rPr>
            </w:pPr>
            <w:r>
              <w:rPr>
                <w:rFonts w:ascii="Times New Roman" w:hAnsi="Times New Roman"/>
                <w:b/>
                <w:color w:val="000000"/>
              </w:rPr>
              <w:t>Pozycja 2 – koszty osobowe</w:t>
            </w:r>
            <w:r w:rsidRPr="007F30C2">
              <w:rPr>
                <w:rFonts w:ascii="Times New Roman" w:hAnsi="Times New Roman"/>
                <w:b/>
                <w:color w:val="000000"/>
              </w:rPr>
              <w:t>:</w:t>
            </w:r>
          </w:p>
          <w:p w14:paraId="41F7176D" w14:textId="1EDB1242" w:rsidR="00B86E43" w:rsidRDefault="00B86E43" w:rsidP="00D579A1">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Przystąpienie URE do AIB </w:t>
            </w:r>
            <w:r w:rsidRPr="00980267">
              <w:rPr>
                <w:rFonts w:ascii="Times New Roman" w:hAnsi="Times New Roman"/>
                <w:color w:val="000000"/>
              </w:rPr>
              <w:t>będzie wiązało się z koniecznością aktywnego uczestnictwa przedstawiciela URE w funkcjonowaniu Stowarzyszenia, w tym w obszarze przygotowywania szeregu raportów, udziału w głosowaniach w sprawach związanych z funkcjonowaniem AIB, udziału</w:t>
            </w:r>
            <w:r>
              <w:rPr>
                <w:rFonts w:ascii="Times New Roman" w:hAnsi="Times New Roman"/>
                <w:color w:val="000000"/>
              </w:rPr>
              <w:t xml:space="preserve"> </w:t>
            </w:r>
            <w:r w:rsidRPr="00980267">
              <w:rPr>
                <w:rFonts w:ascii="Times New Roman" w:hAnsi="Times New Roman"/>
                <w:color w:val="000000"/>
              </w:rPr>
              <w:t xml:space="preserve">w spotkaniach przedstawicieli Członków AIB, a zatem konieczne będzie zapewnienie dodatkowego etatu, przewidującego zatrudnienie </w:t>
            </w:r>
            <w:r w:rsidR="00AF1C2E">
              <w:rPr>
                <w:rFonts w:ascii="Times New Roman" w:hAnsi="Times New Roman"/>
                <w:color w:val="000000"/>
              </w:rPr>
              <w:t xml:space="preserve">(1) </w:t>
            </w:r>
            <w:r w:rsidRPr="00980267">
              <w:rPr>
                <w:rFonts w:ascii="Times New Roman" w:hAnsi="Times New Roman"/>
                <w:color w:val="000000"/>
              </w:rPr>
              <w:t>osoby</w:t>
            </w:r>
            <w:r>
              <w:rPr>
                <w:rFonts w:ascii="Times New Roman" w:hAnsi="Times New Roman"/>
                <w:color w:val="000000"/>
              </w:rPr>
              <w:t xml:space="preserve">, </w:t>
            </w:r>
            <w:r w:rsidRPr="00980267">
              <w:rPr>
                <w:rFonts w:ascii="Times New Roman" w:hAnsi="Times New Roman"/>
                <w:color w:val="000000"/>
              </w:rPr>
              <w:t>o adekwatnych kwalifikacjach</w:t>
            </w:r>
            <w:r>
              <w:rPr>
                <w:rFonts w:ascii="Times New Roman" w:hAnsi="Times New Roman"/>
                <w:color w:val="000000"/>
              </w:rPr>
              <w:t>,</w:t>
            </w:r>
            <w:r w:rsidRPr="00980267">
              <w:rPr>
                <w:rFonts w:ascii="Times New Roman" w:hAnsi="Times New Roman"/>
                <w:color w:val="000000"/>
              </w:rPr>
              <w:t xml:space="preserve"> dedykowanej realizacji zadań w tym obszarze.</w:t>
            </w:r>
          </w:p>
          <w:p w14:paraId="2A1537B5" w14:textId="04DA6478" w:rsidR="00B86E43" w:rsidRDefault="00B86E43" w:rsidP="00D579A1">
            <w:pPr>
              <w:spacing w:after="120" w:line="240" w:lineRule="auto"/>
              <w:jc w:val="both"/>
              <w:rPr>
                <w:rFonts w:ascii="Times New Roman" w:hAnsi="Times New Roman"/>
                <w:color w:val="000000"/>
              </w:rPr>
            </w:pPr>
            <w:r>
              <w:rPr>
                <w:rFonts w:ascii="Times New Roman" w:hAnsi="Times New Roman"/>
                <w:color w:val="000000"/>
              </w:rPr>
              <w:t>Jeżeli chodzi o planowane etaty założono do wyliczeń kosztów zatrudnienia, że osoba zatrudniona w ramach zadania pt. uczestnictwo Urzędu Regulacji Energetyki w AIB zatrudniona będzie pracownik na stanowisku głównego specjalisty</w:t>
            </w:r>
            <w:r w:rsidR="001660DF">
              <w:rPr>
                <w:rFonts w:ascii="Times New Roman" w:hAnsi="Times New Roman"/>
                <w:color w:val="000000"/>
              </w:rPr>
              <w:t>.</w:t>
            </w:r>
          </w:p>
          <w:p w14:paraId="6997673F" w14:textId="53591BDD" w:rsidR="00611BCB" w:rsidRDefault="00611BCB" w:rsidP="00611BCB">
            <w:pPr>
              <w:spacing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9</w:t>
            </w:r>
            <w:r w:rsidRPr="004B458B">
              <w:rPr>
                <w:rFonts w:ascii="Times New Roman" w:hAnsi="Times New Roman"/>
                <w:color w:val="000000"/>
              </w:rPr>
              <w:t xml:space="preserve">. Planowane koszty URE od 2023 r. wynikające z zatrudnienia </w:t>
            </w:r>
            <w:r>
              <w:rPr>
                <w:rFonts w:ascii="Times New Roman" w:hAnsi="Times New Roman"/>
                <w:color w:val="000000"/>
              </w:rPr>
              <w:t>jednego</w:t>
            </w:r>
            <w:r w:rsidRPr="004B458B">
              <w:rPr>
                <w:rFonts w:ascii="Times New Roman" w:hAnsi="Times New Roman"/>
                <w:color w:val="000000"/>
              </w:rPr>
              <w:t xml:space="preserve"> (</w:t>
            </w:r>
            <w:r>
              <w:rPr>
                <w:rFonts w:ascii="Times New Roman" w:hAnsi="Times New Roman"/>
                <w:color w:val="000000"/>
              </w:rPr>
              <w:t>1</w:t>
            </w:r>
            <w:r w:rsidRPr="004B458B">
              <w:rPr>
                <w:rFonts w:ascii="Times New Roman" w:hAnsi="Times New Roman"/>
                <w:color w:val="000000"/>
              </w:rPr>
              <w:t>) now</w:t>
            </w:r>
            <w:r>
              <w:rPr>
                <w:rFonts w:ascii="Times New Roman" w:hAnsi="Times New Roman"/>
                <w:color w:val="000000"/>
              </w:rPr>
              <w:t>ego</w:t>
            </w:r>
            <w:r w:rsidRPr="004B458B">
              <w:rPr>
                <w:rFonts w:ascii="Times New Roman" w:hAnsi="Times New Roman"/>
                <w:color w:val="000000"/>
              </w:rPr>
              <w:t xml:space="preserve"> pracowników w obszarze </w:t>
            </w:r>
            <w:r>
              <w:rPr>
                <w:rFonts w:ascii="Times New Roman" w:hAnsi="Times New Roman"/>
                <w:color w:val="000000"/>
              </w:rPr>
              <w:t>gwarancji pochodzenia</w:t>
            </w:r>
          </w:p>
          <w:tbl>
            <w:tblPr>
              <w:tblW w:w="8180" w:type="dxa"/>
              <w:tblLayout w:type="fixed"/>
              <w:tblCellMar>
                <w:left w:w="70" w:type="dxa"/>
                <w:right w:w="70" w:type="dxa"/>
              </w:tblCellMar>
              <w:tblLook w:val="04A0" w:firstRow="1" w:lastRow="0" w:firstColumn="1" w:lastColumn="0" w:noHBand="0" w:noVBand="1"/>
            </w:tblPr>
            <w:tblGrid>
              <w:gridCol w:w="933"/>
              <w:gridCol w:w="767"/>
              <w:gridCol w:w="720"/>
              <w:gridCol w:w="720"/>
              <w:gridCol w:w="720"/>
              <w:gridCol w:w="720"/>
              <w:gridCol w:w="720"/>
              <w:gridCol w:w="720"/>
              <w:gridCol w:w="720"/>
              <w:gridCol w:w="720"/>
              <w:gridCol w:w="720"/>
            </w:tblGrid>
            <w:tr w:rsidR="00050785" w:rsidRPr="008E0EF6" w14:paraId="133CBA2E" w14:textId="77777777" w:rsidTr="008E0EF6">
              <w:trPr>
                <w:trHeight w:val="300"/>
              </w:trPr>
              <w:tc>
                <w:tcPr>
                  <w:tcW w:w="93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D4B717" w14:textId="77777777" w:rsidR="00050785" w:rsidRPr="008E0EF6" w:rsidRDefault="00050785" w:rsidP="00050785">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Pozycja</w:t>
                  </w:r>
                </w:p>
              </w:tc>
              <w:tc>
                <w:tcPr>
                  <w:tcW w:w="767" w:type="dxa"/>
                  <w:tcBorders>
                    <w:top w:val="single" w:sz="8" w:space="0" w:color="auto"/>
                    <w:left w:val="nil"/>
                    <w:bottom w:val="single" w:sz="8" w:space="0" w:color="auto"/>
                    <w:right w:val="single" w:sz="8" w:space="0" w:color="auto"/>
                  </w:tcBorders>
                  <w:shd w:val="clear" w:color="000000" w:fill="D9D9D9"/>
                  <w:noWrap/>
                  <w:vAlign w:val="center"/>
                  <w:hideMark/>
                </w:tcPr>
                <w:p w14:paraId="3E80AD6B" w14:textId="62095739" w:rsidR="00050785" w:rsidRPr="008E0EF6" w:rsidRDefault="00050785" w:rsidP="008E0EF6">
                  <w:pPr>
                    <w:spacing w:line="240" w:lineRule="auto"/>
                    <w:jc w:val="center"/>
                    <w:rPr>
                      <w:rFonts w:ascii="Times New Roman" w:eastAsia="Times New Roman" w:hAnsi="Times New Roman"/>
                      <w:b/>
                      <w:bCs/>
                      <w:i/>
                      <w:color w:val="000000"/>
                      <w:sz w:val="18"/>
                      <w:szCs w:val="18"/>
                      <w:lang w:eastAsia="pl-PL"/>
                    </w:rPr>
                  </w:pPr>
                  <w:r w:rsidRPr="008E0EF6">
                    <w:rPr>
                      <w:rFonts w:ascii="Times New Roman" w:hAnsi="Times New Roman"/>
                      <w:b/>
                      <w:bCs/>
                      <w:sz w:val="18"/>
                      <w:szCs w:val="18"/>
                    </w:rPr>
                    <w:t>2023</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989C752" w14:textId="1B640E29"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2024</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65B092BE" w14:textId="687FF64F"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2025</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41FA69D3" w14:textId="1019367A"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2026</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3EBAA596" w14:textId="324BB0E0"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2027</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96F2E7B" w14:textId="1CCD50F4"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2028</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5956E6FE" w14:textId="0BA75060"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2029</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5E894F5" w14:textId="2CC31B0A"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2030</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76A7706A" w14:textId="53F10FE5"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2031</w:t>
                  </w:r>
                </w:p>
              </w:tc>
              <w:tc>
                <w:tcPr>
                  <w:tcW w:w="720" w:type="dxa"/>
                  <w:tcBorders>
                    <w:top w:val="single" w:sz="8" w:space="0" w:color="auto"/>
                    <w:left w:val="nil"/>
                    <w:bottom w:val="single" w:sz="8" w:space="0" w:color="auto"/>
                    <w:right w:val="single" w:sz="8" w:space="0" w:color="auto"/>
                  </w:tcBorders>
                  <w:shd w:val="clear" w:color="000000" w:fill="D9D9D9"/>
                  <w:noWrap/>
                  <w:vAlign w:val="center"/>
                  <w:hideMark/>
                </w:tcPr>
                <w:p w14:paraId="109084A0" w14:textId="61FBA60C" w:rsidR="00050785" w:rsidRPr="008E0EF6" w:rsidRDefault="00050785" w:rsidP="008E0EF6">
                  <w:pPr>
                    <w:spacing w:line="240" w:lineRule="auto"/>
                    <w:jc w:val="center"/>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2032</w:t>
                  </w:r>
                </w:p>
              </w:tc>
            </w:tr>
            <w:tr w:rsidR="00B86E43" w:rsidRPr="00687093" w14:paraId="3851761E" w14:textId="77777777" w:rsidTr="00786EA2">
              <w:trPr>
                <w:trHeight w:val="300"/>
              </w:trPr>
              <w:tc>
                <w:tcPr>
                  <w:tcW w:w="933" w:type="dxa"/>
                  <w:tcBorders>
                    <w:top w:val="nil"/>
                    <w:left w:val="single" w:sz="8" w:space="0" w:color="auto"/>
                    <w:bottom w:val="single" w:sz="8" w:space="0" w:color="auto"/>
                    <w:right w:val="single" w:sz="8" w:space="0" w:color="auto"/>
                  </w:tcBorders>
                  <w:shd w:val="clear" w:color="000000" w:fill="D9D9D9"/>
                  <w:noWrap/>
                  <w:vAlign w:val="center"/>
                  <w:hideMark/>
                </w:tcPr>
                <w:p w14:paraId="1BBF3833" w14:textId="77777777" w:rsidR="00B86E43" w:rsidRPr="008E0EF6" w:rsidRDefault="00B86E43" w:rsidP="00B86E43">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 </w:t>
                  </w:r>
                </w:p>
              </w:tc>
              <w:tc>
                <w:tcPr>
                  <w:tcW w:w="7247"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11DBCCEE" w14:textId="77777777" w:rsidR="00B86E43" w:rsidRPr="008E0EF6" w:rsidRDefault="00B86E43" w:rsidP="00B86E43">
                  <w:pPr>
                    <w:spacing w:line="240" w:lineRule="auto"/>
                    <w:jc w:val="center"/>
                    <w:rPr>
                      <w:rFonts w:ascii="Times New Roman" w:eastAsia="Times New Roman" w:hAnsi="Times New Roman"/>
                      <w:b/>
                      <w:bCs/>
                      <w:color w:val="000000"/>
                      <w:sz w:val="18"/>
                      <w:szCs w:val="18"/>
                      <w:lang w:eastAsia="pl-PL"/>
                    </w:rPr>
                  </w:pPr>
                  <w:r w:rsidRPr="008E0EF6">
                    <w:rPr>
                      <w:rFonts w:ascii="Times New Roman" w:eastAsia="Times New Roman" w:hAnsi="Times New Roman"/>
                      <w:b/>
                      <w:bCs/>
                      <w:color w:val="000000"/>
                      <w:sz w:val="18"/>
                      <w:szCs w:val="18"/>
                      <w:lang w:eastAsia="pl-PL"/>
                    </w:rPr>
                    <w:t>Koszty w zł</w:t>
                  </w:r>
                </w:p>
              </w:tc>
            </w:tr>
            <w:tr w:rsidR="00B86E43" w:rsidRPr="00687093" w14:paraId="368449A0" w14:textId="77777777" w:rsidTr="008E0EF6">
              <w:trPr>
                <w:trHeight w:val="300"/>
              </w:trPr>
              <w:tc>
                <w:tcPr>
                  <w:tcW w:w="933" w:type="dxa"/>
                  <w:tcBorders>
                    <w:top w:val="nil"/>
                    <w:left w:val="single" w:sz="8" w:space="0" w:color="auto"/>
                    <w:bottom w:val="single" w:sz="8" w:space="0" w:color="auto"/>
                    <w:right w:val="single" w:sz="8" w:space="0" w:color="auto"/>
                  </w:tcBorders>
                  <w:shd w:val="clear" w:color="auto" w:fill="auto"/>
                  <w:noWrap/>
                  <w:vAlign w:val="center"/>
                  <w:hideMark/>
                </w:tcPr>
                <w:p w14:paraId="282D2475" w14:textId="77777777" w:rsidR="00B86E43" w:rsidRPr="008E0EF6" w:rsidRDefault="00B86E43" w:rsidP="00B86E43">
                  <w:pPr>
                    <w:spacing w:line="240" w:lineRule="auto"/>
                    <w:rPr>
                      <w:rFonts w:ascii="Times New Roman" w:eastAsia="Times New Roman" w:hAnsi="Times New Roman"/>
                      <w:color w:val="000000"/>
                      <w:sz w:val="18"/>
                      <w:szCs w:val="18"/>
                      <w:lang w:eastAsia="pl-PL"/>
                    </w:rPr>
                  </w:pPr>
                  <w:r w:rsidRPr="008E0EF6">
                    <w:rPr>
                      <w:rFonts w:ascii="Times New Roman" w:eastAsia="Times New Roman" w:hAnsi="Times New Roman"/>
                      <w:color w:val="000000"/>
                      <w:sz w:val="18"/>
                      <w:szCs w:val="18"/>
                      <w:lang w:eastAsia="pl-PL"/>
                    </w:rPr>
                    <w:t>Pozycja 1</w:t>
                  </w:r>
                </w:p>
              </w:tc>
              <w:tc>
                <w:tcPr>
                  <w:tcW w:w="767"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6DC61E3"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40 000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A422F3"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30 000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DD83D1"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30 750</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16C3F7"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31 519</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68A8CE"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36 519</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20CB05"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33 114</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192CC0"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33 942</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D6827E"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34 791</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58CCDA"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42 661</w:t>
                  </w:r>
                </w:p>
              </w:tc>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B7A010" w14:textId="77777777" w:rsidR="00B86E43" w:rsidRPr="008E0EF6" w:rsidRDefault="00B86E43"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color w:val="000000"/>
                      <w:sz w:val="18"/>
                      <w:szCs w:val="18"/>
                    </w:rPr>
                    <w:t>36 552</w:t>
                  </w:r>
                </w:p>
              </w:tc>
            </w:tr>
            <w:tr w:rsidR="007516C0" w:rsidRPr="00687093" w14:paraId="673D73D9" w14:textId="77777777" w:rsidTr="008E0EF6">
              <w:trPr>
                <w:trHeight w:val="300"/>
              </w:trPr>
              <w:tc>
                <w:tcPr>
                  <w:tcW w:w="933" w:type="dxa"/>
                  <w:tcBorders>
                    <w:top w:val="nil"/>
                    <w:left w:val="single" w:sz="8" w:space="0" w:color="auto"/>
                    <w:bottom w:val="single" w:sz="4" w:space="0" w:color="auto"/>
                    <w:right w:val="single" w:sz="8" w:space="0" w:color="auto"/>
                  </w:tcBorders>
                  <w:shd w:val="clear" w:color="auto" w:fill="auto"/>
                  <w:noWrap/>
                  <w:vAlign w:val="center"/>
                </w:tcPr>
                <w:p w14:paraId="0C09415D" w14:textId="77777777" w:rsidR="007516C0" w:rsidRPr="008E0EF6" w:rsidRDefault="007516C0" w:rsidP="007516C0">
                  <w:pPr>
                    <w:spacing w:line="240" w:lineRule="auto"/>
                    <w:rPr>
                      <w:rFonts w:ascii="Times New Roman" w:eastAsia="Times New Roman" w:hAnsi="Times New Roman"/>
                      <w:color w:val="000000"/>
                      <w:sz w:val="18"/>
                      <w:szCs w:val="18"/>
                      <w:lang w:eastAsia="pl-PL"/>
                    </w:rPr>
                  </w:pPr>
                  <w:r w:rsidRPr="008E0EF6">
                    <w:rPr>
                      <w:rFonts w:ascii="Times New Roman" w:eastAsia="Times New Roman" w:hAnsi="Times New Roman"/>
                      <w:color w:val="000000"/>
                      <w:sz w:val="18"/>
                      <w:szCs w:val="18"/>
                      <w:lang w:eastAsia="pl-PL"/>
                    </w:rPr>
                    <w:t>Pozycja 2</w:t>
                  </w:r>
                </w:p>
              </w:tc>
              <w:tc>
                <w:tcPr>
                  <w:tcW w:w="767" w:type="dxa"/>
                  <w:tcBorders>
                    <w:top w:val="nil"/>
                    <w:left w:val="nil"/>
                    <w:bottom w:val="single" w:sz="8" w:space="0" w:color="000000"/>
                    <w:right w:val="single" w:sz="8" w:space="0" w:color="000000"/>
                  </w:tcBorders>
                  <w:shd w:val="clear" w:color="auto" w:fill="auto"/>
                  <w:noWrap/>
                  <w:vAlign w:val="center"/>
                </w:tcPr>
                <w:p w14:paraId="5A1D5624" w14:textId="0E1DFCBE"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140 400</w:t>
                  </w:r>
                </w:p>
              </w:tc>
              <w:tc>
                <w:tcPr>
                  <w:tcW w:w="720" w:type="dxa"/>
                  <w:tcBorders>
                    <w:top w:val="nil"/>
                    <w:left w:val="nil"/>
                    <w:bottom w:val="single" w:sz="8" w:space="0" w:color="000000"/>
                    <w:right w:val="single" w:sz="8" w:space="0" w:color="000000"/>
                  </w:tcBorders>
                  <w:shd w:val="clear" w:color="auto" w:fill="auto"/>
                  <w:noWrap/>
                  <w:vAlign w:val="center"/>
                </w:tcPr>
                <w:p w14:paraId="327E7640" w14:textId="2F75CB75"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155 410</w:t>
                  </w:r>
                </w:p>
              </w:tc>
              <w:tc>
                <w:tcPr>
                  <w:tcW w:w="720" w:type="dxa"/>
                  <w:tcBorders>
                    <w:top w:val="nil"/>
                    <w:left w:val="nil"/>
                    <w:bottom w:val="single" w:sz="8" w:space="0" w:color="000000"/>
                    <w:right w:val="single" w:sz="8" w:space="0" w:color="000000"/>
                  </w:tcBorders>
                  <w:shd w:val="clear" w:color="auto" w:fill="auto"/>
                  <w:noWrap/>
                  <w:vAlign w:val="center"/>
                </w:tcPr>
                <w:p w14:paraId="388B408E" w14:textId="258F8FB7"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159 295</w:t>
                  </w:r>
                </w:p>
              </w:tc>
              <w:tc>
                <w:tcPr>
                  <w:tcW w:w="720" w:type="dxa"/>
                  <w:tcBorders>
                    <w:top w:val="nil"/>
                    <w:left w:val="nil"/>
                    <w:bottom w:val="single" w:sz="8" w:space="0" w:color="000000"/>
                    <w:right w:val="single" w:sz="8" w:space="0" w:color="000000"/>
                  </w:tcBorders>
                  <w:shd w:val="clear" w:color="auto" w:fill="auto"/>
                  <w:noWrap/>
                  <w:vAlign w:val="center"/>
                </w:tcPr>
                <w:p w14:paraId="5138501E" w14:textId="0F891967"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163 278</w:t>
                  </w:r>
                </w:p>
              </w:tc>
              <w:tc>
                <w:tcPr>
                  <w:tcW w:w="720" w:type="dxa"/>
                  <w:tcBorders>
                    <w:top w:val="nil"/>
                    <w:left w:val="nil"/>
                    <w:bottom w:val="single" w:sz="8" w:space="0" w:color="000000"/>
                    <w:right w:val="single" w:sz="8" w:space="0" w:color="000000"/>
                  </w:tcBorders>
                  <w:shd w:val="clear" w:color="auto" w:fill="auto"/>
                  <w:noWrap/>
                  <w:vAlign w:val="center"/>
                </w:tcPr>
                <w:p w14:paraId="78666224" w14:textId="19A0478E"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167 360</w:t>
                  </w:r>
                </w:p>
              </w:tc>
              <w:tc>
                <w:tcPr>
                  <w:tcW w:w="720" w:type="dxa"/>
                  <w:tcBorders>
                    <w:top w:val="nil"/>
                    <w:left w:val="nil"/>
                    <w:bottom w:val="single" w:sz="8" w:space="0" w:color="000000"/>
                    <w:right w:val="single" w:sz="8" w:space="0" w:color="000000"/>
                  </w:tcBorders>
                  <w:shd w:val="clear" w:color="auto" w:fill="auto"/>
                  <w:noWrap/>
                  <w:vAlign w:val="center"/>
                </w:tcPr>
                <w:p w14:paraId="0ACFF7B7" w14:textId="34E5E2D6"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171 544</w:t>
                  </w:r>
                </w:p>
              </w:tc>
              <w:tc>
                <w:tcPr>
                  <w:tcW w:w="720" w:type="dxa"/>
                  <w:tcBorders>
                    <w:top w:val="nil"/>
                    <w:left w:val="nil"/>
                    <w:bottom w:val="single" w:sz="8" w:space="0" w:color="000000"/>
                    <w:right w:val="single" w:sz="8" w:space="0" w:color="000000"/>
                  </w:tcBorders>
                  <w:shd w:val="clear" w:color="auto" w:fill="auto"/>
                  <w:noWrap/>
                  <w:vAlign w:val="center"/>
                </w:tcPr>
                <w:p w14:paraId="675EEC0A" w14:textId="723BF3D2"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175 832</w:t>
                  </w:r>
                </w:p>
              </w:tc>
              <w:tc>
                <w:tcPr>
                  <w:tcW w:w="720" w:type="dxa"/>
                  <w:tcBorders>
                    <w:top w:val="nil"/>
                    <w:left w:val="nil"/>
                    <w:bottom w:val="single" w:sz="8" w:space="0" w:color="000000"/>
                    <w:right w:val="single" w:sz="8" w:space="0" w:color="000000"/>
                  </w:tcBorders>
                  <w:shd w:val="clear" w:color="auto" w:fill="auto"/>
                  <w:noWrap/>
                  <w:vAlign w:val="center"/>
                </w:tcPr>
                <w:p w14:paraId="3F921D31" w14:textId="0105B575"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180 228</w:t>
                  </w:r>
                </w:p>
              </w:tc>
              <w:tc>
                <w:tcPr>
                  <w:tcW w:w="720" w:type="dxa"/>
                  <w:tcBorders>
                    <w:top w:val="nil"/>
                    <w:left w:val="nil"/>
                    <w:bottom w:val="single" w:sz="8" w:space="0" w:color="000000"/>
                    <w:right w:val="single" w:sz="8" w:space="0" w:color="000000"/>
                  </w:tcBorders>
                  <w:shd w:val="clear" w:color="auto" w:fill="auto"/>
                  <w:noWrap/>
                  <w:vAlign w:val="center"/>
                </w:tcPr>
                <w:p w14:paraId="6376A74E" w14:textId="530EE7D9"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184 734</w:t>
                  </w:r>
                </w:p>
              </w:tc>
              <w:tc>
                <w:tcPr>
                  <w:tcW w:w="720" w:type="dxa"/>
                  <w:tcBorders>
                    <w:top w:val="nil"/>
                    <w:left w:val="nil"/>
                    <w:bottom w:val="single" w:sz="8" w:space="0" w:color="000000"/>
                    <w:right w:val="single" w:sz="8" w:space="0" w:color="000000"/>
                  </w:tcBorders>
                  <w:shd w:val="clear" w:color="auto" w:fill="auto"/>
                  <w:noWrap/>
                  <w:vAlign w:val="center"/>
                </w:tcPr>
                <w:p w14:paraId="59FD589D" w14:textId="7DE15F53" w:rsidR="007516C0" w:rsidRPr="008E0EF6" w:rsidRDefault="007516C0" w:rsidP="008E0EF6">
                  <w:pPr>
                    <w:spacing w:line="240" w:lineRule="auto"/>
                    <w:ind w:left="-120"/>
                    <w:jc w:val="right"/>
                    <w:rPr>
                      <w:rFonts w:ascii="Times New Roman" w:eastAsia="Times New Roman" w:hAnsi="Times New Roman"/>
                      <w:color w:val="000000"/>
                      <w:sz w:val="18"/>
                      <w:szCs w:val="18"/>
                      <w:lang w:eastAsia="pl-PL"/>
                    </w:rPr>
                  </w:pPr>
                  <w:r w:rsidRPr="008E0EF6">
                    <w:rPr>
                      <w:rFonts w:ascii="Times New Roman" w:hAnsi="Times New Roman"/>
                      <w:sz w:val="18"/>
                      <w:szCs w:val="18"/>
                    </w:rPr>
                    <w:t>189 352</w:t>
                  </w:r>
                </w:p>
              </w:tc>
            </w:tr>
            <w:tr w:rsidR="007516C0" w:rsidRPr="00687093" w14:paraId="048F7166" w14:textId="77777777" w:rsidTr="008E0EF6">
              <w:trPr>
                <w:trHeight w:val="300"/>
              </w:trPr>
              <w:tc>
                <w:tcPr>
                  <w:tcW w:w="93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B922C7D" w14:textId="77777777" w:rsidR="007516C0" w:rsidRPr="008E0EF6" w:rsidRDefault="007516C0" w:rsidP="007516C0">
                  <w:pPr>
                    <w:spacing w:line="240" w:lineRule="auto"/>
                    <w:rPr>
                      <w:rFonts w:ascii="Times New Roman" w:eastAsia="Times New Roman" w:hAnsi="Times New Roman"/>
                      <w:b/>
                      <w:color w:val="000000"/>
                      <w:sz w:val="18"/>
                      <w:szCs w:val="18"/>
                      <w:lang w:eastAsia="pl-PL"/>
                    </w:rPr>
                  </w:pPr>
                  <w:r w:rsidRPr="008E0EF6">
                    <w:rPr>
                      <w:rFonts w:ascii="Times New Roman" w:eastAsia="Times New Roman" w:hAnsi="Times New Roman"/>
                      <w:b/>
                      <w:color w:val="000000"/>
                      <w:sz w:val="18"/>
                      <w:szCs w:val="18"/>
                      <w:lang w:eastAsia="pl-PL"/>
                    </w:rPr>
                    <w:t>Suma:</w:t>
                  </w:r>
                </w:p>
              </w:tc>
              <w:tc>
                <w:tcPr>
                  <w:tcW w:w="767" w:type="dxa"/>
                  <w:tcBorders>
                    <w:top w:val="nil"/>
                    <w:left w:val="nil"/>
                    <w:bottom w:val="single" w:sz="8" w:space="0" w:color="000000"/>
                    <w:right w:val="single" w:sz="8" w:space="0" w:color="000000"/>
                  </w:tcBorders>
                  <w:shd w:val="clear" w:color="auto" w:fill="auto"/>
                  <w:noWrap/>
                  <w:vAlign w:val="center"/>
                </w:tcPr>
                <w:p w14:paraId="71C19D63" w14:textId="4A12E33F"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180 400</w:t>
                  </w:r>
                </w:p>
              </w:tc>
              <w:tc>
                <w:tcPr>
                  <w:tcW w:w="720" w:type="dxa"/>
                  <w:tcBorders>
                    <w:top w:val="nil"/>
                    <w:left w:val="nil"/>
                    <w:bottom w:val="single" w:sz="8" w:space="0" w:color="000000"/>
                    <w:right w:val="single" w:sz="8" w:space="0" w:color="000000"/>
                  </w:tcBorders>
                  <w:shd w:val="clear" w:color="auto" w:fill="auto"/>
                  <w:noWrap/>
                  <w:vAlign w:val="center"/>
                </w:tcPr>
                <w:p w14:paraId="2BBFC0F9" w14:textId="51A4B789"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185 410</w:t>
                  </w:r>
                </w:p>
              </w:tc>
              <w:tc>
                <w:tcPr>
                  <w:tcW w:w="720" w:type="dxa"/>
                  <w:tcBorders>
                    <w:top w:val="nil"/>
                    <w:left w:val="nil"/>
                    <w:bottom w:val="single" w:sz="8" w:space="0" w:color="000000"/>
                    <w:right w:val="single" w:sz="8" w:space="0" w:color="000000"/>
                  </w:tcBorders>
                  <w:shd w:val="clear" w:color="auto" w:fill="auto"/>
                  <w:noWrap/>
                  <w:vAlign w:val="center"/>
                </w:tcPr>
                <w:p w14:paraId="765ADA69" w14:textId="3721DFD5"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190 045</w:t>
                  </w:r>
                </w:p>
              </w:tc>
              <w:tc>
                <w:tcPr>
                  <w:tcW w:w="720" w:type="dxa"/>
                  <w:tcBorders>
                    <w:top w:val="nil"/>
                    <w:left w:val="nil"/>
                    <w:bottom w:val="single" w:sz="8" w:space="0" w:color="000000"/>
                    <w:right w:val="single" w:sz="8" w:space="0" w:color="000000"/>
                  </w:tcBorders>
                  <w:shd w:val="clear" w:color="auto" w:fill="auto"/>
                  <w:noWrap/>
                  <w:vAlign w:val="center"/>
                </w:tcPr>
                <w:p w14:paraId="1679D2B4" w14:textId="2994B8C9"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194 797</w:t>
                  </w:r>
                </w:p>
              </w:tc>
              <w:tc>
                <w:tcPr>
                  <w:tcW w:w="720" w:type="dxa"/>
                  <w:tcBorders>
                    <w:top w:val="nil"/>
                    <w:left w:val="nil"/>
                    <w:bottom w:val="single" w:sz="8" w:space="0" w:color="000000"/>
                    <w:right w:val="single" w:sz="8" w:space="0" w:color="000000"/>
                  </w:tcBorders>
                  <w:shd w:val="clear" w:color="auto" w:fill="auto"/>
                  <w:noWrap/>
                  <w:vAlign w:val="center"/>
                </w:tcPr>
                <w:p w14:paraId="5A94EDE0" w14:textId="4981B8A8"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203 879</w:t>
                  </w:r>
                </w:p>
              </w:tc>
              <w:tc>
                <w:tcPr>
                  <w:tcW w:w="720" w:type="dxa"/>
                  <w:tcBorders>
                    <w:top w:val="nil"/>
                    <w:left w:val="nil"/>
                    <w:bottom w:val="single" w:sz="8" w:space="0" w:color="000000"/>
                    <w:right w:val="single" w:sz="8" w:space="0" w:color="000000"/>
                  </w:tcBorders>
                  <w:shd w:val="clear" w:color="auto" w:fill="auto"/>
                  <w:noWrap/>
                  <w:vAlign w:val="center"/>
                </w:tcPr>
                <w:p w14:paraId="1E7683D7" w14:textId="1095E35F"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204 658</w:t>
                  </w:r>
                </w:p>
              </w:tc>
              <w:tc>
                <w:tcPr>
                  <w:tcW w:w="720" w:type="dxa"/>
                  <w:tcBorders>
                    <w:top w:val="nil"/>
                    <w:left w:val="nil"/>
                    <w:bottom w:val="single" w:sz="8" w:space="0" w:color="000000"/>
                    <w:right w:val="single" w:sz="8" w:space="0" w:color="000000"/>
                  </w:tcBorders>
                  <w:shd w:val="clear" w:color="auto" w:fill="auto"/>
                  <w:noWrap/>
                  <w:vAlign w:val="center"/>
                </w:tcPr>
                <w:p w14:paraId="43ACA44D" w14:textId="61405AEC"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209 774</w:t>
                  </w:r>
                </w:p>
              </w:tc>
              <w:tc>
                <w:tcPr>
                  <w:tcW w:w="720" w:type="dxa"/>
                  <w:tcBorders>
                    <w:top w:val="nil"/>
                    <w:left w:val="nil"/>
                    <w:bottom w:val="single" w:sz="8" w:space="0" w:color="000000"/>
                    <w:right w:val="single" w:sz="8" w:space="0" w:color="000000"/>
                  </w:tcBorders>
                  <w:shd w:val="clear" w:color="auto" w:fill="auto"/>
                  <w:noWrap/>
                  <w:vAlign w:val="center"/>
                </w:tcPr>
                <w:p w14:paraId="5127E59A" w14:textId="7CECFE66"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215 019</w:t>
                  </w:r>
                </w:p>
              </w:tc>
              <w:tc>
                <w:tcPr>
                  <w:tcW w:w="720" w:type="dxa"/>
                  <w:tcBorders>
                    <w:top w:val="nil"/>
                    <w:left w:val="nil"/>
                    <w:bottom w:val="single" w:sz="8" w:space="0" w:color="000000"/>
                    <w:right w:val="single" w:sz="8" w:space="0" w:color="000000"/>
                  </w:tcBorders>
                  <w:shd w:val="clear" w:color="auto" w:fill="auto"/>
                  <w:noWrap/>
                  <w:vAlign w:val="center"/>
                </w:tcPr>
                <w:p w14:paraId="02A037AA" w14:textId="2AE89A20"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227 395</w:t>
                  </w:r>
                </w:p>
              </w:tc>
              <w:tc>
                <w:tcPr>
                  <w:tcW w:w="720" w:type="dxa"/>
                  <w:tcBorders>
                    <w:top w:val="nil"/>
                    <w:left w:val="nil"/>
                    <w:bottom w:val="single" w:sz="8" w:space="0" w:color="000000"/>
                    <w:right w:val="single" w:sz="8" w:space="0" w:color="000000"/>
                  </w:tcBorders>
                  <w:shd w:val="clear" w:color="auto" w:fill="auto"/>
                  <w:noWrap/>
                  <w:vAlign w:val="center"/>
                </w:tcPr>
                <w:p w14:paraId="57842BC1" w14:textId="386D75E6" w:rsidR="007516C0" w:rsidRPr="008E0EF6" w:rsidRDefault="007516C0" w:rsidP="008E0EF6">
                  <w:pPr>
                    <w:spacing w:line="240" w:lineRule="auto"/>
                    <w:ind w:left="-120"/>
                    <w:jc w:val="right"/>
                    <w:rPr>
                      <w:rFonts w:ascii="Times New Roman" w:eastAsia="Times New Roman" w:hAnsi="Times New Roman"/>
                      <w:b/>
                      <w:bCs/>
                      <w:color w:val="000000"/>
                      <w:sz w:val="18"/>
                      <w:szCs w:val="18"/>
                      <w:lang w:eastAsia="pl-PL"/>
                    </w:rPr>
                  </w:pPr>
                  <w:r w:rsidRPr="008E0EF6">
                    <w:rPr>
                      <w:rFonts w:ascii="Times New Roman" w:hAnsi="Times New Roman"/>
                      <w:b/>
                      <w:bCs/>
                      <w:sz w:val="18"/>
                      <w:szCs w:val="18"/>
                    </w:rPr>
                    <w:t>225 904</w:t>
                  </w:r>
                </w:p>
              </w:tc>
            </w:tr>
          </w:tbl>
          <w:p w14:paraId="21D0A892" w14:textId="5E8E896C" w:rsidR="00AC7478" w:rsidRPr="00143FD8" w:rsidRDefault="00AC7478" w:rsidP="00143FD8">
            <w:pPr>
              <w:tabs>
                <w:tab w:val="left" w:pos="234"/>
              </w:tabs>
              <w:spacing w:before="120"/>
              <w:rPr>
                <w:rFonts w:ascii="Times New Roman" w:hAnsi="Times New Roman"/>
                <w:b/>
                <w:bCs/>
                <w:color w:val="000000"/>
                <w:u w:val="single"/>
              </w:rPr>
            </w:pPr>
            <w:r w:rsidRPr="00143FD8">
              <w:rPr>
                <w:rFonts w:ascii="Times New Roman" w:hAnsi="Times New Roman"/>
                <w:b/>
                <w:bCs/>
                <w:color w:val="000000"/>
                <w:u w:val="single"/>
              </w:rPr>
              <w:t>III.</w:t>
            </w:r>
            <w:r w:rsidR="00AE768B" w:rsidRPr="00143FD8">
              <w:rPr>
                <w:rFonts w:ascii="Times New Roman" w:hAnsi="Times New Roman"/>
                <w:b/>
                <w:bCs/>
                <w:color w:val="000000"/>
                <w:u w:val="single"/>
              </w:rPr>
              <w:t xml:space="preserve">3. </w:t>
            </w:r>
            <w:r w:rsidRPr="00143FD8">
              <w:rPr>
                <w:rFonts w:ascii="Times New Roman" w:hAnsi="Times New Roman"/>
                <w:b/>
                <w:bCs/>
                <w:color w:val="000000"/>
                <w:u w:val="single"/>
              </w:rPr>
              <w:t>Krajowy Punkt Kontaktowy OZE</w:t>
            </w:r>
          </w:p>
          <w:p w14:paraId="716FCB9D" w14:textId="62AB11AE" w:rsidR="001B2223" w:rsidRDefault="00B14296" w:rsidP="00143FD8">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Doświadczenia w realizacji Programu „Mój Prąd”, realizowanego przez </w:t>
            </w:r>
            <w:r w:rsidR="001B2223">
              <w:rPr>
                <w:rFonts w:ascii="Times New Roman" w:hAnsi="Times New Roman"/>
                <w:color w:val="000000"/>
              </w:rPr>
              <w:t xml:space="preserve">Narodowy Fundusz Ochrony Środowiska i Gospodarki Wodnej, </w:t>
            </w:r>
            <w:r>
              <w:rPr>
                <w:rFonts w:ascii="Times New Roman" w:hAnsi="Times New Roman"/>
                <w:color w:val="000000"/>
              </w:rPr>
              <w:t>wskazują na potrzebę zaangażowania urzędu w</w:t>
            </w:r>
            <w:r w:rsidR="00A32929">
              <w:rPr>
                <w:rFonts w:ascii="Times New Roman" w:hAnsi="Times New Roman"/>
                <w:color w:val="000000"/>
              </w:rPr>
              <w:t xml:space="preserve"> proceduralne</w:t>
            </w:r>
            <w:r>
              <w:rPr>
                <w:rFonts w:ascii="Times New Roman" w:hAnsi="Times New Roman"/>
                <w:color w:val="000000"/>
              </w:rPr>
              <w:t xml:space="preserve"> wsparcie </w:t>
            </w:r>
            <w:r w:rsidR="00A32929">
              <w:rPr>
                <w:rFonts w:ascii="Times New Roman" w:hAnsi="Times New Roman"/>
                <w:color w:val="000000"/>
              </w:rPr>
              <w:t>Klientów</w:t>
            </w:r>
            <w:r>
              <w:rPr>
                <w:rFonts w:ascii="Times New Roman" w:hAnsi="Times New Roman"/>
                <w:color w:val="000000"/>
              </w:rPr>
              <w:t>.</w:t>
            </w:r>
            <w:r w:rsidR="001B2223" w:rsidRPr="00310047">
              <w:rPr>
                <w:rFonts w:ascii="Times New Roman" w:hAnsi="Times New Roman"/>
                <w:color w:val="000000"/>
              </w:rPr>
              <w:t xml:space="preserve"> </w:t>
            </w:r>
            <w:r w:rsidR="001B2223">
              <w:rPr>
                <w:rFonts w:ascii="Times New Roman" w:hAnsi="Times New Roman"/>
                <w:color w:val="000000"/>
              </w:rPr>
              <w:t>Wynika to w szczególności z faktu</w:t>
            </w:r>
            <w:r w:rsidR="000D7B8B">
              <w:rPr>
                <w:rFonts w:ascii="Times New Roman" w:hAnsi="Times New Roman"/>
                <w:color w:val="000000"/>
              </w:rPr>
              <w:t>,</w:t>
            </w:r>
            <w:r w:rsidR="001B2223">
              <w:rPr>
                <w:rFonts w:ascii="Times New Roman" w:hAnsi="Times New Roman"/>
                <w:color w:val="000000"/>
              </w:rPr>
              <w:t xml:space="preserve"> iż inwestycje w odnawialne źródła energii, zarówno w mikroskali jaką są instalacje </w:t>
            </w:r>
            <w:proofErr w:type="spellStart"/>
            <w:r w:rsidR="001B2223">
              <w:rPr>
                <w:rFonts w:ascii="Times New Roman" w:hAnsi="Times New Roman"/>
                <w:color w:val="000000"/>
              </w:rPr>
              <w:t>prosumenckie</w:t>
            </w:r>
            <w:proofErr w:type="spellEnd"/>
            <w:r w:rsidR="001B2223">
              <w:rPr>
                <w:rFonts w:ascii="Times New Roman" w:hAnsi="Times New Roman"/>
                <w:color w:val="000000"/>
              </w:rPr>
              <w:t xml:space="preserve">, jak i skali większej (chociaż wciąż nie w skali przemysłowej) w coraz większej mierze przyciągają osoby, które dotąd nigdy nie były aktywnym uczestnikiem rynku energii. Podkreślenia wymaga, że tylko w skali programu </w:t>
            </w:r>
            <w:r>
              <w:rPr>
                <w:rFonts w:ascii="Times New Roman" w:hAnsi="Times New Roman"/>
                <w:color w:val="000000"/>
              </w:rPr>
              <w:t>„</w:t>
            </w:r>
            <w:r w:rsidR="001B2223">
              <w:rPr>
                <w:rFonts w:ascii="Times New Roman" w:hAnsi="Times New Roman"/>
                <w:color w:val="000000"/>
              </w:rPr>
              <w:t>Mój Prąd</w:t>
            </w:r>
            <w:r>
              <w:rPr>
                <w:rFonts w:ascii="Times New Roman" w:hAnsi="Times New Roman"/>
                <w:color w:val="000000"/>
              </w:rPr>
              <w:t>”</w:t>
            </w:r>
            <w:r w:rsidR="001B2223">
              <w:rPr>
                <w:rFonts w:ascii="Times New Roman" w:hAnsi="Times New Roman"/>
                <w:color w:val="000000"/>
              </w:rPr>
              <w:t xml:space="preserve">, dotyczącego finansowania </w:t>
            </w:r>
            <w:r>
              <w:rPr>
                <w:rFonts w:ascii="Times New Roman" w:hAnsi="Times New Roman"/>
                <w:color w:val="000000"/>
              </w:rPr>
              <w:t xml:space="preserve">już ukończonych </w:t>
            </w:r>
            <w:r w:rsidR="001B2223">
              <w:rPr>
                <w:rFonts w:ascii="Times New Roman" w:hAnsi="Times New Roman"/>
                <w:color w:val="000000"/>
              </w:rPr>
              <w:t xml:space="preserve">inwestycji, oznaczało </w:t>
            </w:r>
            <w:r w:rsidR="001B2223">
              <w:rPr>
                <w:rFonts w:ascii="Times New Roman" w:hAnsi="Times New Roman"/>
                <w:color w:val="000000"/>
              </w:rPr>
              <w:lastRenderedPageBreak/>
              <w:t>to zaangażowanie na poziomie ponad 30 osób</w:t>
            </w:r>
            <w:r>
              <w:rPr>
                <w:rFonts w:ascii="Times New Roman" w:hAnsi="Times New Roman"/>
                <w:color w:val="000000"/>
              </w:rPr>
              <w:t>, powiązane koszty obsługi biura</w:t>
            </w:r>
            <w:r w:rsidR="001B2223">
              <w:rPr>
                <w:rFonts w:ascii="Times New Roman" w:hAnsi="Times New Roman"/>
                <w:color w:val="000000"/>
              </w:rPr>
              <w:t xml:space="preserve"> (np. księgowość) i obciążenie </w:t>
            </w:r>
            <w:r>
              <w:rPr>
                <w:rFonts w:ascii="Times New Roman" w:hAnsi="Times New Roman"/>
                <w:color w:val="000000"/>
              </w:rPr>
              <w:t xml:space="preserve">na poziomie </w:t>
            </w:r>
            <w:r w:rsidR="001B2223">
              <w:rPr>
                <w:rFonts w:ascii="Times New Roman" w:hAnsi="Times New Roman"/>
                <w:color w:val="000000"/>
              </w:rPr>
              <w:t>około 500 połącz</w:t>
            </w:r>
            <w:r w:rsidR="00634EE5">
              <w:rPr>
                <w:rFonts w:ascii="Times New Roman" w:hAnsi="Times New Roman"/>
                <w:color w:val="000000"/>
              </w:rPr>
              <w:t>eń</w:t>
            </w:r>
            <w:r w:rsidR="001B2223">
              <w:rPr>
                <w:rFonts w:ascii="Times New Roman" w:hAnsi="Times New Roman"/>
                <w:color w:val="000000"/>
              </w:rPr>
              <w:t xml:space="preserve"> telefonicznych dziennie. </w:t>
            </w:r>
          </w:p>
          <w:p w14:paraId="438831C3" w14:textId="769DBF86" w:rsidR="00CA20AF" w:rsidRDefault="001B2223" w:rsidP="00143FD8">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Biorąc pod uwagę </w:t>
            </w:r>
            <w:r w:rsidR="00B14296">
              <w:rPr>
                <w:rFonts w:ascii="Times New Roman" w:hAnsi="Times New Roman"/>
                <w:color w:val="000000"/>
              </w:rPr>
              <w:t xml:space="preserve">przyjętą </w:t>
            </w:r>
            <w:r>
              <w:rPr>
                <w:rFonts w:ascii="Times New Roman" w:hAnsi="Times New Roman"/>
                <w:color w:val="000000"/>
              </w:rPr>
              <w:t>koncepcję KPK OZE</w:t>
            </w:r>
            <w:r w:rsidR="00B14296">
              <w:rPr>
                <w:rFonts w:ascii="Times New Roman" w:hAnsi="Times New Roman"/>
                <w:color w:val="000000"/>
              </w:rPr>
              <w:t>,</w:t>
            </w:r>
            <w:r>
              <w:rPr>
                <w:rFonts w:ascii="Times New Roman" w:hAnsi="Times New Roman"/>
                <w:color w:val="000000"/>
              </w:rPr>
              <w:t xml:space="preserve"> </w:t>
            </w:r>
            <w:r w:rsidR="0085746B">
              <w:rPr>
                <w:rFonts w:ascii="Times New Roman" w:hAnsi="Times New Roman"/>
                <w:color w:val="000000"/>
              </w:rPr>
              <w:t>istnieje konieczność</w:t>
            </w:r>
            <w:r w:rsidR="00AC36C8">
              <w:rPr>
                <w:rFonts w:ascii="Times New Roman" w:hAnsi="Times New Roman"/>
                <w:color w:val="000000"/>
              </w:rPr>
              <w:t xml:space="preserve"> </w:t>
            </w:r>
            <w:r w:rsidR="00AC36C8" w:rsidRPr="00D41255">
              <w:rPr>
                <w:rFonts w:ascii="Times New Roman" w:hAnsi="Times New Roman"/>
                <w:color w:val="000000"/>
              </w:rPr>
              <w:t xml:space="preserve">zapewnienia obsługi </w:t>
            </w:r>
            <w:r w:rsidR="00BF4B03">
              <w:rPr>
                <w:rFonts w:ascii="Times New Roman" w:hAnsi="Times New Roman"/>
                <w:color w:val="000000"/>
              </w:rPr>
              <w:t>eksperckiej</w:t>
            </w:r>
            <w:r w:rsidR="00E8668B">
              <w:rPr>
                <w:rFonts w:ascii="Times New Roman" w:hAnsi="Times New Roman"/>
                <w:color w:val="000000"/>
              </w:rPr>
              <w:t xml:space="preserve"> jego </w:t>
            </w:r>
            <w:r w:rsidR="00AC36C8" w:rsidRPr="00D41255">
              <w:rPr>
                <w:rFonts w:ascii="Times New Roman" w:hAnsi="Times New Roman"/>
                <w:color w:val="000000"/>
              </w:rPr>
              <w:t>funkcjonowania.</w:t>
            </w:r>
            <w:r w:rsidR="00AC36C8">
              <w:rPr>
                <w:rFonts w:ascii="Times New Roman" w:hAnsi="Times New Roman"/>
                <w:color w:val="000000"/>
              </w:rPr>
              <w:t xml:space="preserve"> W oparciu </w:t>
            </w:r>
            <w:r w:rsidR="00B14296">
              <w:rPr>
                <w:rFonts w:ascii="Times New Roman" w:hAnsi="Times New Roman"/>
                <w:color w:val="000000"/>
              </w:rPr>
              <w:t xml:space="preserve">o </w:t>
            </w:r>
            <w:r>
              <w:rPr>
                <w:rFonts w:ascii="Times New Roman" w:hAnsi="Times New Roman"/>
                <w:color w:val="000000"/>
              </w:rPr>
              <w:t xml:space="preserve">przedstawione powyżej doświadczenie i </w:t>
            </w:r>
            <w:r w:rsidR="00AC36C8">
              <w:rPr>
                <w:rFonts w:ascii="Times New Roman" w:hAnsi="Times New Roman"/>
                <w:color w:val="000000"/>
              </w:rPr>
              <w:t>wiedzę w</w:t>
            </w:r>
            <w:r w:rsidR="00E8668B">
              <w:rPr>
                <w:rFonts w:ascii="Times New Roman" w:hAnsi="Times New Roman"/>
                <w:color w:val="000000"/>
              </w:rPr>
              <w:t>ynikając</w:t>
            </w:r>
            <w:r w:rsidR="00B14296">
              <w:rPr>
                <w:rFonts w:ascii="Times New Roman" w:hAnsi="Times New Roman"/>
                <w:color w:val="000000"/>
              </w:rPr>
              <w:t>ą</w:t>
            </w:r>
            <w:r w:rsidR="00AC36C8">
              <w:rPr>
                <w:rFonts w:ascii="Times New Roman" w:hAnsi="Times New Roman"/>
                <w:color w:val="000000"/>
              </w:rPr>
              <w:t xml:space="preserve"> z</w:t>
            </w:r>
            <w:r w:rsidR="00E8668B">
              <w:rPr>
                <w:rFonts w:ascii="Times New Roman" w:hAnsi="Times New Roman"/>
                <w:color w:val="000000"/>
              </w:rPr>
              <w:t>e</w:t>
            </w:r>
            <w:r w:rsidR="00AC36C8">
              <w:rPr>
                <w:rFonts w:ascii="Times New Roman" w:hAnsi="Times New Roman"/>
                <w:color w:val="000000"/>
              </w:rPr>
              <w:t xml:space="preserve"> sprawowani</w:t>
            </w:r>
            <w:r w:rsidR="00E8668B">
              <w:rPr>
                <w:rFonts w:ascii="Times New Roman" w:hAnsi="Times New Roman"/>
                <w:color w:val="000000"/>
              </w:rPr>
              <w:t>a</w:t>
            </w:r>
            <w:r w:rsidR="00AC36C8">
              <w:rPr>
                <w:rFonts w:ascii="Times New Roman" w:hAnsi="Times New Roman"/>
                <w:color w:val="000000"/>
              </w:rPr>
              <w:t xml:space="preserve"> przez Ministra Klimatu i Środowiska nadzoru nad działem administracji rządowej klimat, w ramach którego to działu wykonuje się zadania związane z zarzadzaniem i koordynacją</w:t>
            </w:r>
            <w:r w:rsidR="00AC36C8" w:rsidRPr="00366250">
              <w:rPr>
                <w:rFonts w:ascii="Times New Roman" w:hAnsi="Times New Roman"/>
                <w:color w:val="000000"/>
              </w:rPr>
              <w:t xml:space="preserve"> programów w zakresie upowszechniania, rozwoju i promocji wykorzystywania technologii niskoemisyjnych i zeroemisyjnych</w:t>
            </w:r>
            <w:r w:rsidR="00AC36C8">
              <w:rPr>
                <w:rFonts w:ascii="Times New Roman" w:hAnsi="Times New Roman"/>
                <w:color w:val="000000"/>
              </w:rPr>
              <w:t xml:space="preserve">, </w:t>
            </w:r>
            <w:r w:rsidR="00B14296">
              <w:rPr>
                <w:rFonts w:ascii="Times New Roman" w:hAnsi="Times New Roman"/>
                <w:color w:val="000000"/>
              </w:rPr>
              <w:t>wdrożenie</w:t>
            </w:r>
            <w:r w:rsidR="00AC36C8">
              <w:rPr>
                <w:rFonts w:ascii="Times New Roman" w:hAnsi="Times New Roman"/>
                <w:color w:val="000000"/>
              </w:rPr>
              <w:t xml:space="preserve"> </w:t>
            </w:r>
            <w:r>
              <w:rPr>
                <w:rFonts w:ascii="Times New Roman" w:hAnsi="Times New Roman"/>
                <w:color w:val="000000"/>
              </w:rPr>
              <w:t>KPK OZE</w:t>
            </w:r>
            <w:r w:rsidR="00AC36C8">
              <w:rPr>
                <w:rFonts w:ascii="Times New Roman" w:hAnsi="Times New Roman"/>
                <w:color w:val="000000"/>
              </w:rPr>
              <w:t xml:space="preserve"> wymagać będzie powstania nowego wydziału w strukturze ministerstwa, a co za tym idzie zatrudnienia dodatkowych pracowników w ilości </w:t>
            </w:r>
            <w:r w:rsidR="00E8668B">
              <w:rPr>
                <w:rFonts w:ascii="Times New Roman" w:hAnsi="Times New Roman"/>
                <w:color w:val="000000"/>
              </w:rPr>
              <w:t>pięciu (</w:t>
            </w:r>
            <w:r w:rsidR="00AC36C8">
              <w:rPr>
                <w:rFonts w:ascii="Times New Roman" w:hAnsi="Times New Roman"/>
                <w:color w:val="000000"/>
              </w:rPr>
              <w:t>5</w:t>
            </w:r>
            <w:r w:rsidR="00E8668B">
              <w:rPr>
                <w:rFonts w:ascii="Times New Roman" w:hAnsi="Times New Roman"/>
                <w:color w:val="000000"/>
              </w:rPr>
              <w:t>)</w:t>
            </w:r>
            <w:r w:rsidR="00AC36C8">
              <w:rPr>
                <w:rFonts w:ascii="Times New Roman" w:hAnsi="Times New Roman"/>
                <w:color w:val="000000"/>
              </w:rPr>
              <w:t xml:space="preserve"> osób oraz zapewnienia właściwej infrastruktury. </w:t>
            </w:r>
          </w:p>
          <w:p w14:paraId="33590F21" w14:textId="7C042F42" w:rsidR="0085746B" w:rsidRPr="000D3F79" w:rsidRDefault="0085746B" w:rsidP="0085746B">
            <w:pPr>
              <w:tabs>
                <w:tab w:val="left" w:pos="234"/>
              </w:tabs>
              <w:rPr>
                <w:rFonts w:ascii="Times New Roman" w:hAnsi="Times New Roman"/>
                <w:b/>
                <w:color w:val="000000"/>
              </w:rPr>
            </w:pPr>
            <w:r>
              <w:rPr>
                <w:rFonts w:ascii="Times New Roman" w:hAnsi="Times New Roman"/>
                <w:b/>
                <w:color w:val="000000"/>
              </w:rPr>
              <w:t xml:space="preserve">Pozycja </w:t>
            </w:r>
            <w:r w:rsidR="00C7589F">
              <w:rPr>
                <w:rFonts w:ascii="Times New Roman" w:hAnsi="Times New Roman"/>
                <w:b/>
                <w:color w:val="000000"/>
              </w:rPr>
              <w:t>1</w:t>
            </w:r>
            <w:r>
              <w:rPr>
                <w:rFonts w:ascii="Times New Roman" w:hAnsi="Times New Roman"/>
                <w:b/>
                <w:color w:val="000000"/>
              </w:rPr>
              <w:t xml:space="preserve"> – koszty infrastruktury</w:t>
            </w:r>
            <w:r w:rsidRPr="007F30C2">
              <w:rPr>
                <w:rFonts w:ascii="Times New Roman" w:hAnsi="Times New Roman"/>
                <w:b/>
                <w:color w:val="000000"/>
              </w:rPr>
              <w:t>:</w:t>
            </w:r>
          </w:p>
          <w:p w14:paraId="44568276" w14:textId="5CEFD618" w:rsidR="00AC36C8" w:rsidRDefault="00933704" w:rsidP="00D579A1">
            <w:pPr>
              <w:tabs>
                <w:tab w:val="left" w:pos="234"/>
              </w:tabs>
              <w:spacing w:after="120"/>
              <w:rPr>
                <w:rFonts w:ascii="Times New Roman" w:hAnsi="Times New Roman"/>
                <w:color w:val="000000"/>
              </w:rPr>
            </w:pPr>
            <w:r>
              <w:rPr>
                <w:rFonts w:ascii="Times New Roman" w:hAnsi="Times New Roman"/>
                <w:color w:val="000000"/>
              </w:rPr>
              <w:t>U</w:t>
            </w:r>
            <w:r w:rsidR="00AC36C8" w:rsidRPr="000D3F79">
              <w:rPr>
                <w:rFonts w:ascii="Times New Roman" w:hAnsi="Times New Roman"/>
                <w:color w:val="000000"/>
              </w:rPr>
              <w:t>tworzenie stanowisk pracy (w tym niezbędnej infrastruktury) oraz jej utrzymania (szkolenia, itp.).</w:t>
            </w:r>
          </w:p>
          <w:p w14:paraId="46D4E862" w14:textId="6ECAFACB" w:rsidR="00AC36C8" w:rsidRDefault="006E642B" w:rsidP="00AC36C8">
            <w:pPr>
              <w:tabs>
                <w:tab w:val="left" w:pos="234"/>
              </w:tabs>
              <w:rPr>
                <w:rFonts w:ascii="Times New Roman" w:hAnsi="Times New Roman"/>
                <w:i/>
                <w:color w:val="000000"/>
                <w:u w:val="single"/>
              </w:rPr>
            </w:pPr>
            <w:r>
              <w:rPr>
                <w:rFonts w:ascii="Times New Roman" w:hAnsi="Times New Roman"/>
                <w:b/>
                <w:color w:val="000000"/>
              </w:rPr>
              <w:t xml:space="preserve">Pozycja </w:t>
            </w:r>
            <w:r w:rsidR="00C7589F">
              <w:rPr>
                <w:rFonts w:ascii="Times New Roman" w:hAnsi="Times New Roman"/>
                <w:b/>
                <w:color w:val="000000"/>
              </w:rPr>
              <w:t>2</w:t>
            </w:r>
            <w:r>
              <w:rPr>
                <w:rFonts w:ascii="Times New Roman" w:hAnsi="Times New Roman"/>
                <w:b/>
                <w:color w:val="000000"/>
              </w:rPr>
              <w:t xml:space="preserve"> – </w:t>
            </w:r>
            <w:r w:rsidRPr="000779B8">
              <w:rPr>
                <w:rFonts w:ascii="Times New Roman" w:hAnsi="Times New Roman"/>
                <w:b/>
                <w:color w:val="000000"/>
              </w:rPr>
              <w:t>k</w:t>
            </w:r>
            <w:r w:rsidR="00AC36C8" w:rsidRPr="00D579A1">
              <w:rPr>
                <w:rFonts w:ascii="Times New Roman" w:hAnsi="Times New Roman"/>
                <w:b/>
                <w:color w:val="000000"/>
              </w:rPr>
              <w:t>oszty osobowe</w:t>
            </w:r>
            <w:r w:rsidR="00405B6B" w:rsidRPr="00D579A1">
              <w:rPr>
                <w:rFonts w:ascii="Times New Roman" w:hAnsi="Times New Roman"/>
                <w:b/>
                <w:color w:val="000000"/>
              </w:rPr>
              <w:t>:</w:t>
            </w:r>
            <w:r w:rsidR="00AC36C8" w:rsidRPr="00DB4033">
              <w:rPr>
                <w:rFonts w:ascii="Times New Roman" w:hAnsi="Times New Roman"/>
                <w:i/>
                <w:color w:val="000000"/>
                <w:u w:val="single"/>
              </w:rPr>
              <w:t xml:space="preserve"> </w:t>
            </w:r>
          </w:p>
          <w:p w14:paraId="071420D6" w14:textId="1CC95DF6" w:rsidR="00AC36C8" w:rsidRDefault="00AC36C8" w:rsidP="00310047">
            <w:pPr>
              <w:pStyle w:val="Akapitzlist"/>
              <w:tabs>
                <w:tab w:val="left" w:pos="234"/>
              </w:tabs>
              <w:spacing w:line="240" w:lineRule="auto"/>
              <w:ind w:left="0"/>
              <w:jc w:val="both"/>
              <w:rPr>
                <w:rFonts w:ascii="Times New Roman" w:hAnsi="Times New Roman"/>
                <w:color w:val="000000"/>
              </w:rPr>
            </w:pPr>
            <w:r w:rsidRPr="000D3F79">
              <w:rPr>
                <w:rFonts w:ascii="Times New Roman" w:hAnsi="Times New Roman"/>
                <w:b/>
                <w:color w:val="000000"/>
              </w:rPr>
              <w:t xml:space="preserve">4 etaty </w:t>
            </w:r>
            <w:r w:rsidRPr="000D3F79">
              <w:rPr>
                <w:rFonts w:ascii="Times New Roman" w:hAnsi="Times New Roman"/>
                <w:color w:val="000000"/>
              </w:rPr>
              <w:t>–</w:t>
            </w:r>
            <w:r w:rsidRPr="009940F0">
              <w:rPr>
                <w:rFonts w:ascii="Times New Roman" w:hAnsi="Times New Roman"/>
                <w:color w:val="000000"/>
              </w:rPr>
              <w:t xml:space="preserve"> </w:t>
            </w:r>
            <w:r w:rsidR="00405B6B">
              <w:rPr>
                <w:rFonts w:ascii="Times New Roman" w:hAnsi="Times New Roman"/>
                <w:color w:val="000000"/>
              </w:rPr>
              <w:t>o</w:t>
            </w:r>
            <w:r w:rsidRPr="000D3F79">
              <w:rPr>
                <w:rFonts w:ascii="Times New Roman" w:hAnsi="Times New Roman"/>
                <w:color w:val="000000"/>
              </w:rPr>
              <w:t>bsługa KPK</w:t>
            </w:r>
            <w:r w:rsidR="00F0650F">
              <w:rPr>
                <w:rFonts w:ascii="Times New Roman" w:hAnsi="Times New Roman"/>
                <w:color w:val="000000"/>
              </w:rPr>
              <w:t xml:space="preserve"> OZE</w:t>
            </w:r>
            <w:r w:rsidR="00E201EB">
              <w:rPr>
                <w:rFonts w:ascii="Times New Roman" w:hAnsi="Times New Roman"/>
                <w:color w:val="000000"/>
              </w:rPr>
              <w:t xml:space="preserve"> będzie wymagać</w:t>
            </w:r>
            <w:r w:rsidR="00CC49E5">
              <w:rPr>
                <w:rFonts w:ascii="Times New Roman" w:hAnsi="Times New Roman"/>
                <w:color w:val="000000"/>
              </w:rPr>
              <w:t xml:space="preserve"> realizacji m.in. następujących zadań</w:t>
            </w:r>
            <w:r w:rsidR="00310047">
              <w:rPr>
                <w:rFonts w:ascii="Times New Roman" w:hAnsi="Times New Roman"/>
                <w:color w:val="000000"/>
              </w:rPr>
              <w:t>:</w:t>
            </w:r>
          </w:p>
          <w:p w14:paraId="21DE7742" w14:textId="47FBBCA3" w:rsidR="00CC49E5" w:rsidRPr="000F09A5"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bCs/>
                <w:color w:val="000000"/>
              </w:rPr>
              <w:t xml:space="preserve">przeprowadzenie postępowania w zakresie zamówienia publicznego </w:t>
            </w:r>
            <w:r w:rsidRPr="00847264">
              <w:rPr>
                <w:rFonts w:ascii="Times New Roman" w:hAnsi="Times New Roman"/>
                <w:bCs/>
                <w:color w:val="000000"/>
              </w:rPr>
              <w:t>na</w:t>
            </w:r>
            <w:r w:rsidRPr="000F09A5">
              <w:rPr>
                <w:rFonts w:ascii="Times New Roman" w:hAnsi="Times New Roman"/>
              </w:rPr>
              <w:t xml:space="preserve"> wybór wykonawcy </w:t>
            </w:r>
            <w:r w:rsidRPr="00847264">
              <w:rPr>
                <w:rFonts w:ascii="Times New Roman" w:hAnsi="Times New Roman"/>
                <w:bCs/>
                <w:color w:val="000000"/>
              </w:rPr>
              <w:t>kompleksowego przygotowania treści informacyjnych znajdujących się na stronie internetowej KPK OZE</w:t>
            </w:r>
            <w:r>
              <w:rPr>
                <w:rFonts w:ascii="Times New Roman" w:hAnsi="Times New Roman"/>
                <w:bCs/>
                <w:color w:val="000000"/>
              </w:rPr>
              <w:t xml:space="preserve">. Będzie ono obejmowało zarówno aspekty formalne, jak i weryfikację przygotowanych treści - </w:t>
            </w:r>
            <w:r w:rsidRPr="00924891">
              <w:rPr>
                <w:rFonts w:ascii="Times New Roman" w:hAnsi="Times New Roman"/>
                <w:color w:val="000000"/>
                <w:u w:val="single"/>
              </w:rPr>
              <w:t>wszyscy pracownicy</w:t>
            </w:r>
            <w:r w:rsidR="00A32929">
              <w:rPr>
                <w:rFonts w:ascii="Times New Roman" w:hAnsi="Times New Roman"/>
                <w:color w:val="000000"/>
                <w:u w:val="single"/>
              </w:rPr>
              <w:t xml:space="preserve"> wraz z obsługą odpowiednich </w:t>
            </w:r>
            <w:r w:rsidR="000B3DC8">
              <w:rPr>
                <w:rFonts w:ascii="Times New Roman" w:hAnsi="Times New Roman"/>
                <w:color w:val="000000"/>
                <w:u w:val="single"/>
              </w:rPr>
              <w:t xml:space="preserve">komórek </w:t>
            </w:r>
            <w:r w:rsidR="00A32929">
              <w:rPr>
                <w:rFonts w:ascii="Times New Roman" w:hAnsi="Times New Roman"/>
                <w:color w:val="000000"/>
                <w:u w:val="single"/>
              </w:rPr>
              <w:t xml:space="preserve">merytorycznych </w:t>
            </w:r>
            <w:proofErr w:type="spellStart"/>
            <w:r w:rsidR="00A32929">
              <w:rPr>
                <w:rFonts w:ascii="Times New Roman" w:hAnsi="Times New Roman"/>
                <w:color w:val="000000"/>
                <w:u w:val="single"/>
              </w:rPr>
              <w:t>MKiŚ</w:t>
            </w:r>
            <w:proofErr w:type="spellEnd"/>
            <w:r>
              <w:rPr>
                <w:rFonts w:ascii="Times New Roman" w:hAnsi="Times New Roman"/>
                <w:color w:val="000000"/>
              </w:rPr>
              <w:t>;</w:t>
            </w:r>
          </w:p>
          <w:p w14:paraId="4B4FB0F2" w14:textId="51EA0211" w:rsidR="00CC49E5" w:rsidRPr="000F09A5"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uruchomienie właściwej strony internetowej KPK OZE oraz monitorowanie jej sprawnego </w:t>
            </w:r>
            <w:r w:rsidR="00A32929">
              <w:rPr>
                <w:rFonts w:ascii="Times New Roman" w:hAnsi="Times New Roman"/>
                <w:color w:val="000000"/>
              </w:rPr>
              <w:t xml:space="preserve">(technicznego) </w:t>
            </w:r>
            <w:r w:rsidR="000F09A5">
              <w:rPr>
                <w:rFonts w:ascii="Times New Roman" w:hAnsi="Times New Roman"/>
                <w:color w:val="000000"/>
              </w:rPr>
              <w:t xml:space="preserve">wdrożenia i </w:t>
            </w:r>
            <w:r>
              <w:rPr>
                <w:rFonts w:ascii="Times New Roman" w:hAnsi="Times New Roman"/>
                <w:color w:val="000000"/>
              </w:rPr>
              <w:t xml:space="preserve">funkcjonowania - </w:t>
            </w:r>
            <w:r w:rsidRPr="00924891">
              <w:rPr>
                <w:rFonts w:ascii="Times New Roman" w:hAnsi="Times New Roman"/>
                <w:color w:val="000000"/>
                <w:u w:val="single"/>
              </w:rPr>
              <w:t>2 pracowników</w:t>
            </w:r>
            <w:r w:rsidR="00A32929">
              <w:rPr>
                <w:rFonts w:ascii="Times New Roman" w:hAnsi="Times New Roman"/>
                <w:color w:val="000000"/>
                <w:u w:val="single"/>
              </w:rPr>
              <w:t xml:space="preserve"> z niezbędną współpracą z działem IT</w:t>
            </w:r>
            <w:r>
              <w:rPr>
                <w:rFonts w:ascii="Times New Roman" w:hAnsi="Times New Roman"/>
                <w:color w:val="000000"/>
                <w:u w:val="single"/>
              </w:rPr>
              <w:t>;</w:t>
            </w:r>
          </w:p>
          <w:p w14:paraId="2A3C636C" w14:textId="01F332D9" w:rsidR="00AC36C8" w:rsidRPr="005F5C39" w:rsidRDefault="00E201EB"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monitorowanie</w:t>
            </w:r>
            <w:r w:rsidR="00CC49E5">
              <w:rPr>
                <w:rFonts w:ascii="Times New Roman" w:hAnsi="Times New Roman"/>
                <w:color w:val="000000"/>
              </w:rPr>
              <w:t xml:space="preserve"> oraz</w:t>
            </w:r>
            <w:r>
              <w:rPr>
                <w:rFonts w:ascii="Times New Roman" w:hAnsi="Times New Roman"/>
                <w:color w:val="000000"/>
              </w:rPr>
              <w:t xml:space="preserve"> aktualizacja </w:t>
            </w:r>
            <w:r w:rsidR="00AC36C8">
              <w:rPr>
                <w:rFonts w:ascii="Times New Roman" w:hAnsi="Times New Roman"/>
                <w:color w:val="000000"/>
              </w:rPr>
              <w:t>informacji na stronie internetowej KPK</w:t>
            </w:r>
            <w:r w:rsidR="00F0650F">
              <w:rPr>
                <w:rFonts w:ascii="Times New Roman" w:hAnsi="Times New Roman"/>
                <w:color w:val="000000"/>
              </w:rPr>
              <w:t xml:space="preserve"> OZE</w:t>
            </w:r>
            <w:r>
              <w:rPr>
                <w:rFonts w:ascii="Times New Roman" w:hAnsi="Times New Roman"/>
                <w:color w:val="000000"/>
              </w:rPr>
              <w:t xml:space="preserve"> </w:t>
            </w:r>
            <w:r w:rsidR="00A32929">
              <w:rPr>
                <w:rFonts w:ascii="Times New Roman" w:hAnsi="Times New Roman"/>
                <w:color w:val="000000"/>
              </w:rPr>
              <w:t xml:space="preserve">polegająca w szczególności na pracach </w:t>
            </w:r>
            <w:r>
              <w:rPr>
                <w:rFonts w:ascii="Times New Roman" w:hAnsi="Times New Roman"/>
                <w:color w:val="000000"/>
              </w:rPr>
              <w:t xml:space="preserve">w zakresie zmian prawnych dla każdego z rodzajów procesów inwestycyjnych, w tym (i) wielkości instalacji (mikro, małe, duże instalacje OZE), (ii) technologii (m.in. wiatr, </w:t>
            </w:r>
            <w:proofErr w:type="spellStart"/>
            <w:r>
              <w:rPr>
                <w:rFonts w:ascii="Times New Roman" w:hAnsi="Times New Roman"/>
                <w:color w:val="000000"/>
              </w:rPr>
              <w:t>fotowoltaika</w:t>
            </w:r>
            <w:proofErr w:type="spellEnd"/>
            <w:r>
              <w:rPr>
                <w:rFonts w:ascii="Times New Roman" w:hAnsi="Times New Roman"/>
                <w:color w:val="000000"/>
              </w:rPr>
              <w:t>, biogaz, biomasa, energetyka wodna) oraz (iii) etapów procesu inwestycyjnego (</w:t>
            </w:r>
            <w:r w:rsidR="00DF54BB">
              <w:rPr>
                <w:rFonts w:ascii="Times New Roman" w:hAnsi="Times New Roman"/>
                <w:color w:val="000000"/>
              </w:rPr>
              <w:t xml:space="preserve">w szczególności </w:t>
            </w:r>
            <w:r>
              <w:rPr>
                <w:rFonts w:ascii="Times New Roman" w:hAnsi="Times New Roman"/>
                <w:color w:val="000000"/>
              </w:rPr>
              <w:t>etap wyb</w:t>
            </w:r>
            <w:r w:rsidR="00DF54BB">
              <w:rPr>
                <w:rFonts w:ascii="Times New Roman" w:hAnsi="Times New Roman"/>
                <w:color w:val="000000"/>
              </w:rPr>
              <w:t>o</w:t>
            </w:r>
            <w:r>
              <w:rPr>
                <w:rFonts w:ascii="Times New Roman" w:hAnsi="Times New Roman"/>
                <w:color w:val="000000"/>
              </w:rPr>
              <w:t>ru lokalizacji, decyzji środowiskowej, zmiany studium zagospodarowania przestrzennego, przyjęcia lub zmiany MPZP, uzyskania przyłączenia do sieci, pozwolenia budowlaneg</w:t>
            </w:r>
            <w:r w:rsidR="00DF54BB">
              <w:rPr>
                <w:rFonts w:ascii="Times New Roman" w:hAnsi="Times New Roman"/>
                <w:color w:val="000000"/>
              </w:rPr>
              <w:t>o</w:t>
            </w:r>
            <w:r w:rsidR="00CC49E5">
              <w:rPr>
                <w:rFonts w:ascii="Times New Roman" w:hAnsi="Times New Roman"/>
                <w:color w:val="000000"/>
              </w:rPr>
              <w:t>)</w:t>
            </w:r>
            <w:r w:rsidR="00FE16F8">
              <w:rPr>
                <w:rFonts w:ascii="Times New Roman" w:hAnsi="Times New Roman"/>
                <w:color w:val="000000"/>
              </w:rPr>
              <w:t xml:space="preserve"> – </w:t>
            </w:r>
            <w:r w:rsidR="00FE16F8" w:rsidRPr="00924891">
              <w:rPr>
                <w:rFonts w:ascii="Times New Roman" w:hAnsi="Times New Roman"/>
                <w:color w:val="000000"/>
                <w:u w:val="single"/>
              </w:rPr>
              <w:t>wszyscy pracownicy</w:t>
            </w:r>
            <w:r w:rsidR="00FE16F8">
              <w:rPr>
                <w:rFonts w:ascii="Times New Roman" w:hAnsi="Times New Roman"/>
                <w:color w:val="000000"/>
              </w:rPr>
              <w:t>;</w:t>
            </w:r>
          </w:p>
          <w:p w14:paraId="4DF6222E" w14:textId="69F254AB" w:rsidR="00DF54BB" w:rsidRPr="000F09A5" w:rsidRDefault="00DF54BB"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katalogowanie</w:t>
            </w:r>
            <w:r w:rsidR="00CC49E5">
              <w:rPr>
                <w:rFonts w:ascii="Times New Roman" w:hAnsi="Times New Roman"/>
                <w:color w:val="000000"/>
              </w:rPr>
              <w:t xml:space="preserve">, </w:t>
            </w:r>
            <w:r>
              <w:rPr>
                <w:rFonts w:ascii="Times New Roman" w:hAnsi="Times New Roman"/>
                <w:color w:val="000000"/>
              </w:rPr>
              <w:t>a w miarę konieczności także inicjowanie niezbędnych kierunków zmian w procesach inwestycyjnych, w tym zgł</w:t>
            </w:r>
            <w:r w:rsidR="00FE16F8">
              <w:rPr>
                <w:rFonts w:ascii="Times New Roman" w:hAnsi="Times New Roman"/>
                <w:color w:val="000000"/>
              </w:rPr>
              <w:t xml:space="preserve">aszanie przełożonym inicjatyw prawodawczych – </w:t>
            </w:r>
            <w:r w:rsidR="00FE16F8" w:rsidRPr="00924891">
              <w:rPr>
                <w:rFonts w:ascii="Times New Roman" w:hAnsi="Times New Roman"/>
                <w:color w:val="000000"/>
                <w:u w:val="single"/>
              </w:rPr>
              <w:t>wszyscy pracownicy</w:t>
            </w:r>
            <w:r w:rsidR="00FE16F8">
              <w:rPr>
                <w:rFonts w:ascii="Times New Roman" w:hAnsi="Times New Roman"/>
                <w:color w:val="000000"/>
              </w:rPr>
              <w:t xml:space="preserve">; </w:t>
            </w:r>
          </w:p>
          <w:p w14:paraId="698E7064" w14:textId="57465666" w:rsidR="00CC49E5" w:rsidRPr="000D3F79" w:rsidRDefault="00CC49E5"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przygotowanie sprawozdań i raportów z funkcjonowania KPK OZE - </w:t>
            </w:r>
            <w:r w:rsidRPr="00924891">
              <w:rPr>
                <w:rFonts w:ascii="Times New Roman" w:hAnsi="Times New Roman"/>
                <w:color w:val="000000"/>
                <w:u w:val="single"/>
              </w:rPr>
              <w:t>wszyscy pracownicy</w:t>
            </w:r>
            <w:r>
              <w:rPr>
                <w:rFonts w:ascii="Times New Roman" w:hAnsi="Times New Roman"/>
                <w:color w:val="000000"/>
              </w:rPr>
              <w:t>;</w:t>
            </w:r>
          </w:p>
          <w:p w14:paraId="2CA3251E" w14:textId="41A09D27" w:rsidR="005F5C39" w:rsidRPr="003426DD" w:rsidRDefault="005F5C39" w:rsidP="005F5C39">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 xml:space="preserve">obsługa zapytań </w:t>
            </w:r>
            <w:r w:rsidRPr="005F5C39">
              <w:rPr>
                <w:rFonts w:ascii="Times New Roman" w:hAnsi="Times New Roman"/>
                <w:color w:val="000000"/>
              </w:rPr>
              <w:t>wnioskodawc</w:t>
            </w:r>
            <w:r>
              <w:rPr>
                <w:rFonts w:ascii="Times New Roman" w:hAnsi="Times New Roman"/>
                <w:color w:val="000000"/>
              </w:rPr>
              <w:t>ów</w:t>
            </w:r>
            <w:r w:rsidRPr="005F5C39">
              <w:rPr>
                <w:rFonts w:ascii="Times New Roman" w:hAnsi="Times New Roman"/>
                <w:color w:val="000000"/>
              </w:rPr>
              <w:t xml:space="preserve"> KPK</w:t>
            </w:r>
            <w:r w:rsidRPr="003426DD">
              <w:rPr>
                <w:rFonts w:ascii="Times New Roman" w:hAnsi="Times New Roman"/>
                <w:color w:val="000000"/>
              </w:rPr>
              <w:t xml:space="preserve"> OZE </w:t>
            </w:r>
            <w:r>
              <w:rPr>
                <w:rFonts w:ascii="Times New Roman" w:hAnsi="Times New Roman"/>
                <w:color w:val="000000"/>
              </w:rPr>
              <w:t xml:space="preserve">(osoby fizyczne oraz osoby prawne) </w:t>
            </w:r>
            <w:r w:rsidR="00FE16F8">
              <w:rPr>
                <w:rFonts w:ascii="Times New Roman" w:hAnsi="Times New Roman"/>
                <w:color w:val="000000"/>
              </w:rPr>
              <w:t xml:space="preserve">w formie </w:t>
            </w:r>
            <w:r>
              <w:rPr>
                <w:rFonts w:ascii="Times New Roman" w:hAnsi="Times New Roman"/>
                <w:color w:val="000000"/>
              </w:rPr>
              <w:t>kontakt</w:t>
            </w:r>
            <w:r w:rsidR="00FE16F8">
              <w:rPr>
                <w:rFonts w:ascii="Times New Roman" w:hAnsi="Times New Roman"/>
                <w:color w:val="000000"/>
              </w:rPr>
              <w:t>u</w:t>
            </w:r>
            <w:r>
              <w:rPr>
                <w:rFonts w:ascii="Times New Roman" w:hAnsi="Times New Roman"/>
                <w:color w:val="000000"/>
              </w:rPr>
              <w:t xml:space="preserve"> telefoniczn</w:t>
            </w:r>
            <w:r w:rsidR="00FE16F8">
              <w:rPr>
                <w:rFonts w:ascii="Times New Roman" w:hAnsi="Times New Roman"/>
                <w:color w:val="000000"/>
              </w:rPr>
              <w:t>ego</w:t>
            </w:r>
            <w:r>
              <w:rPr>
                <w:rFonts w:ascii="Times New Roman" w:hAnsi="Times New Roman"/>
                <w:color w:val="000000"/>
              </w:rPr>
              <w:t xml:space="preserve"> a także </w:t>
            </w:r>
            <w:r w:rsidR="00FE16F8">
              <w:rPr>
                <w:rFonts w:ascii="Times New Roman" w:hAnsi="Times New Roman"/>
                <w:color w:val="000000"/>
              </w:rPr>
              <w:t xml:space="preserve">poprzez </w:t>
            </w:r>
            <w:r>
              <w:rPr>
                <w:rFonts w:ascii="Times New Roman" w:hAnsi="Times New Roman"/>
                <w:color w:val="000000"/>
              </w:rPr>
              <w:t xml:space="preserve">obsługę skrzynek </w:t>
            </w:r>
            <w:r w:rsidR="00FE16F8">
              <w:rPr>
                <w:rFonts w:ascii="Times New Roman" w:hAnsi="Times New Roman"/>
                <w:color w:val="000000"/>
              </w:rPr>
              <w:t xml:space="preserve">e-mail – </w:t>
            </w:r>
            <w:r w:rsidR="00FE16F8" w:rsidRPr="00924891">
              <w:rPr>
                <w:rFonts w:ascii="Times New Roman" w:hAnsi="Times New Roman"/>
                <w:color w:val="000000"/>
                <w:u w:val="single"/>
              </w:rPr>
              <w:t>wszyscy pracownicy</w:t>
            </w:r>
            <w:r w:rsidR="00FE16F8">
              <w:rPr>
                <w:rFonts w:ascii="Times New Roman" w:hAnsi="Times New Roman"/>
                <w:color w:val="000000"/>
              </w:rPr>
              <w:t>;</w:t>
            </w:r>
          </w:p>
          <w:p w14:paraId="69BEEA1E" w14:textId="10A719EA" w:rsidR="00AC36C8" w:rsidRPr="000D3F79" w:rsidRDefault="00AC36C8"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występowanie do właściwych organów merytorycznych</w:t>
            </w:r>
            <w:r w:rsidR="005F5C39">
              <w:rPr>
                <w:rFonts w:ascii="Times New Roman" w:hAnsi="Times New Roman"/>
                <w:color w:val="000000"/>
              </w:rPr>
              <w:t xml:space="preserve">, w tym do organów administracji terenowej, </w:t>
            </w:r>
            <w:r>
              <w:rPr>
                <w:rFonts w:ascii="Times New Roman" w:hAnsi="Times New Roman"/>
                <w:color w:val="000000"/>
              </w:rPr>
              <w:t>w celu uzyskania odpowiedzi na pyta</w:t>
            </w:r>
            <w:r w:rsidR="00405B6B">
              <w:rPr>
                <w:rFonts w:ascii="Times New Roman" w:hAnsi="Times New Roman"/>
                <w:color w:val="000000"/>
              </w:rPr>
              <w:t>nia zadane za pośrednictwem KPK</w:t>
            </w:r>
            <w:r w:rsidR="00F0650F">
              <w:rPr>
                <w:rFonts w:ascii="Times New Roman" w:hAnsi="Times New Roman"/>
                <w:color w:val="000000"/>
              </w:rPr>
              <w:t xml:space="preserve"> OZE</w:t>
            </w:r>
            <w:r w:rsidR="00FE16F8">
              <w:rPr>
                <w:rFonts w:ascii="Times New Roman" w:hAnsi="Times New Roman"/>
                <w:color w:val="000000"/>
              </w:rPr>
              <w:t xml:space="preserve"> – </w:t>
            </w:r>
            <w:r w:rsidR="00FE16F8" w:rsidRPr="00924891">
              <w:rPr>
                <w:rFonts w:ascii="Times New Roman" w:hAnsi="Times New Roman"/>
                <w:color w:val="000000"/>
                <w:u w:val="single"/>
              </w:rPr>
              <w:t>2 pracowników</w:t>
            </w:r>
            <w:r w:rsidR="00933704">
              <w:rPr>
                <w:rFonts w:ascii="Times New Roman" w:hAnsi="Times New Roman"/>
                <w:color w:val="000000"/>
              </w:rPr>
              <w:t>;</w:t>
            </w:r>
          </w:p>
          <w:p w14:paraId="7EBCDF73" w14:textId="78F16CFF" w:rsidR="005F5C39" w:rsidRPr="005F5C39" w:rsidRDefault="00AC36C8" w:rsidP="00933704">
            <w:pPr>
              <w:pStyle w:val="Akapitzlist"/>
              <w:numPr>
                <w:ilvl w:val="0"/>
                <w:numId w:val="179"/>
              </w:numPr>
              <w:tabs>
                <w:tab w:val="left" w:pos="234"/>
              </w:tabs>
              <w:spacing w:line="240" w:lineRule="auto"/>
              <w:jc w:val="both"/>
              <w:rPr>
                <w:rFonts w:ascii="Times New Roman" w:hAnsi="Times New Roman"/>
                <w:b/>
                <w:color w:val="000000"/>
              </w:rPr>
            </w:pPr>
            <w:r>
              <w:rPr>
                <w:rFonts w:ascii="Times New Roman" w:hAnsi="Times New Roman"/>
                <w:color w:val="000000"/>
              </w:rPr>
              <w:t>przygotowywanie odpowiedzi na pytania zadane za pośrednictwem KPK</w:t>
            </w:r>
            <w:r w:rsidR="00F0650F">
              <w:rPr>
                <w:rFonts w:ascii="Times New Roman" w:hAnsi="Times New Roman"/>
                <w:color w:val="000000"/>
              </w:rPr>
              <w:t xml:space="preserve"> OZE</w:t>
            </w:r>
            <w:r>
              <w:rPr>
                <w:rFonts w:ascii="Times New Roman" w:hAnsi="Times New Roman"/>
                <w:color w:val="000000"/>
              </w:rPr>
              <w:t>, które nie wymagają wystąpienia do wł</w:t>
            </w:r>
            <w:r w:rsidR="00405B6B">
              <w:rPr>
                <w:rFonts w:ascii="Times New Roman" w:hAnsi="Times New Roman"/>
                <w:color w:val="000000"/>
              </w:rPr>
              <w:t>aściwych organów merytorycznych</w:t>
            </w:r>
            <w:r w:rsidR="005F5C39">
              <w:rPr>
                <w:rFonts w:ascii="Times New Roman" w:hAnsi="Times New Roman"/>
                <w:color w:val="000000"/>
              </w:rPr>
              <w:t xml:space="preserve">, w tym </w:t>
            </w:r>
            <w:r w:rsidR="00FE16F8">
              <w:rPr>
                <w:rFonts w:ascii="Times New Roman" w:hAnsi="Times New Roman"/>
                <w:color w:val="000000"/>
              </w:rPr>
              <w:t>w szczególności</w:t>
            </w:r>
            <w:r w:rsidR="005F5C39">
              <w:rPr>
                <w:rFonts w:ascii="Times New Roman" w:hAnsi="Times New Roman"/>
                <w:color w:val="000000"/>
              </w:rPr>
              <w:t>:</w:t>
            </w:r>
          </w:p>
          <w:p w14:paraId="50CB8BA9" w14:textId="7599DECD" w:rsidR="005F5C39" w:rsidRPr="005F5C39" w:rsidRDefault="005F5C39" w:rsidP="00FE16F8">
            <w:pPr>
              <w:pStyle w:val="Akapitzlist"/>
              <w:numPr>
                <w:ilvl w:val="0"/>
                <w:numId w:val="181"/>
              </w:numPr>
              <w:spacing w:line="240" w:lineRule="auto"/>
              <w:ind w:left="1077"/>
              <w:jc w:val="both"/>
              <w:rPr>
                <w:rFonts w:ascii="Times New Roman" w:hAnsi="Times New Roman"/>
                <w:color w:val="000000"/>
              </w:rPr>
            </w:pPr>
            <w:r>
              <w:rPr>
                <w:rFonts w:ascii="Times New Roman" w:hAnsi="Times New Roman"/>
                <w:color w:val="000000"/>
              </w:rPr>
              <w:t xml:space="preserve">opracowywanie odpowiedzi na </w:t>
            </w:r>
            <w:r w:rsidRPr="005F5C39">
              <w:rPr>
                <w:rFonts w:ascii="Times New Roman" w:hAnsi="Times New Roman"/>
                <w:color w:val="000000"/>
              </w:rPr>
              <w:t>zapytania o informację publiczną</w:t>
            </w:r>
            <w:r>
              <w:rPr>
                <w:rFonts w:ascii="Times New Roman" w:hAnsi="Times New Roman"/>
                <w:color w:val="000000"/>
              </w:rPr>
              <w:t>;</w:t>
            </w:r>
          </w:p>
          <w:p w14:paraId="074192D8" w14:textId="5A869D4C" w:rsidR="005F5C39" w:rsidRPr="005F5C39" w:rsidRDefault="005F5C39" w:rsidP="00FE16F8">
            <w:pPr>
              <w:pStyle w:val="Akapitzlist"/>
              <w:numPr>
                <w:ilvl w:val="0"/>
                <w:numId w:val="181"/>
              </w:numPr>
              <w:spacing w:line="240" w:lineRule="auto"/>
              <w:ind w:left="1077"/>
              <w:jc w:val="both"/>
              <w:rPr>
                <w:rFonts w:ascii="Times New Roman" w:hAnsi="Times New Roman"/>
                <w:color w:val="000000"/>
              </w:rPr>
            </w:pPr>
            <w:r>
              <w:rPr>
                <w:rFonts w:ascii="Times New Roman" w:hAnsi="Times New Roman"/>
                <w:color w:val="000000"/>
              </w:rPr>
              <w:t xml:space="preserve">opracowywanie odpowiedzi, w tym występowanie do innych organów o wkład merytoryczny do odpowiedzi na </w:t>
            </w:r>
            <w:r w:rsidRPr="005F5C39">
              <w:rPr>
                <w:rFonts w:ascii="Times New Roman" w:hAnsi="Times New Roman"/>
                <w:color w:val="000000"/>
              </w:rPr>
              <w:t>interpelacje poselskie i zapytania dziennikarzy</w:t>
            </w:r>
            <w:r w:rsidR="00FE16F8">
              <w:rPr>
                <w:rFonts w:ascii="Times New Roman" w:hAnsi="Times New Roman"/>
                <w:color w:val="000000"/>
              </w:rPr>
              <w:t>,</w:t>
            </w:r>
            <w:r w:rsidRPr="005F5C39">
              <w:rPr>
                <w:rFonts w:ascii="Times New Roman" w:hAnsi="Times New Roman"/>
                <w:color w:val="000000"/>
              </w:rPr>
              <w:t xml:space="preserve"> </w:t>
            </w:r>
          </w:p>
          <w:p w14:paraId="1716A362" w14:textId="6A143B00" w:rsidR="00FE16F8" w:rsidRPr="000D3F79" w:rsidRDefault="00FE16F8" w:rsidP="00924891">
            <w:pPr>
              <w:pStyle w:val="Akapitzlist"/>
              <w:tabs>
                <w:tab w:val="left" w:pos="234"/>
              </w:tabs>
              <w:spacing w:line="240" w:lineRule="auto"/>
              <w:jc w:val="both"/>
              <w:rPr>
                <w:rFonts w:ascii="Times New Roman" w:hAnsi="Times New Roman"/>
                <w:b/>
                <w:color w:val="000000"/>
              </w:rPr>
            </w:pPr>
            <w:r w:rsidRPr="00924891">
              <w:rPr>
                <w:rFonts w:ascii="Times New Roman" w:hAnsi="Times New Roman"/>
                <w:color w:val="000000"/>
                <w:u w:val="single"/>
              </w:rPr>
              <w:t>- 2 pracowników</w:t>
            </w:r>
            <w:r>
              <w:rPr>
                <w:rFonts w:ascii="Times New Roman" w:hAnsi="Times New Roman"/>
                <w:color w:val="000000"/>
                <w:u w:val="single"/>
              </w:rPr>
              <w:t>;</w:t>
            </w:r>
          </w:p>
          <w:p w14:paraId="4C48488F" w14:textId="5F68C7EE" w:rsidR="00AC36C8" w:rsidRPr="00D579A1" w:rsidRDefault="00AC36C8" w:rsidP="00D579A1">
            <w:pPr>
              <w:tabs>
                <w:tab w:val="left" w:pos="234"/>
              </w:tabs>
              <w:spacing w:after="120" w:line="240" w:lineRule="auto"/>
              <w:jc w:val="both"/>
              <w:rPr>
                <w:rFonts w:ascii="Times New Roman" w:hAnsi="Times New Roman"/>
                <w:b/>
                <w:color w:val="000000"/>
              </w:rPr>
            </w:pPr>
            <w:r w:rsidRPr="00D579A1">
              <w:rPr>
                <w:rFonts w:ascii="Times New Roman" w:hAnsi="Times New Roman"/>
                <w:b/>
                <w:color w:val="000000"/>
              </w:rPr>
              <w:t xml:space="preserve">1 etat – </w:t>
            </w:r>
            <w:r w:rsidR="00405B6B" w:rsidRPr="00D579A1">
              <w:rPr>
                <w:rFonts w:ascii="Times New Roman" w:hAnsi="Times New Roman"/>
                <w:color w:val="000000"/>
              </w:rPr>
              <w:t>n</w:t>
            </w:r>
            <w:r w:rsidRPr="00D579A1">
              <w:rPr>
                <w:rFonts w:ascii="Times New Roman" w:hAnsi="Times New Roman"/>
                <w:color w:val="000000"/>
              </w:rPr>
              <w:t>adzór wydziału nad terminowym oraz rzetelnym wykonywaniem obowiązków</w:t>
            </w:r>
            <w:r w:rsidR="00FE16F8">
              <w:rPr>
                <w:rFonts w:ascii="Times New Roman" w:hAnsi="Times New Roman"/>
                <w:color w:val="000000"/>
              </w:rPr>
              <w:t>, akceptowanie pism wychodzących, a także</w:t>
            </w:r>
            <w:r w:rsidR="005F5C39" w:rsidRPr="005F5C39">
              <w:rPr>
                <w:rFonts w:ascii="Times New Roman" w:hAnsi="Times New Roman"/>
                <w:color w:val="000000"/>
              </w:rPr>
              <w:t xml:space="preserve"> sprawozdań</w:t>
            </w:r>
            <w:r w:rsidR="005F5C39">
              <w:rPr>
                <w:rFonts w:ascii="Times New Roman" w:hAnsi="Times New Roman"/>
                <w:color w:val="000000"/>
              </w:rPr>
              <w:t xml:space="preserve"> i raport</w:t>
            </w:r>
            <w:r w:rsidR="00CC49E5">
              <w:rPr>
                <w:rFonts w:ascii="Times New Roman" w:hAnsi="Times New Roman"/>
                <w:color w:val="000000"/>
              </w:rPr>
              <w:t>ów z funkcjonowania KPK OZE</w:t>
            </w:r>
            <w:r w:rsidRPr="00D579A1">
              <w:rPr>
                <w:rFonts w:ascii="Times New Roman" w:hAnsi="Times New Roman"/>
                <w:color w:val="000000"/>
              </w:rPr>
              <w:t xml:space="preserve">. </w:t>
            </w:r>
          </w:p>
          <w:p w14:paraId="0A1C6703" w14:textId="2B713D14" w:rsidR="00AC36C8" w:rsidRDefault="00D47FB4" w:rsidP="00D579A1">
            <w:pPr>
              <w:tabs>
                <w:tab w:val="left" w:pos="234"/>
              </w:tabs>
              <w:spacing w:after="120" w:line="240" w:lineRule="auto"/>
              <w:jc w:val="both"/>
              <w:rPr>
                <w:rFonts w:ascii="Times New Roman" w:hAnsi="Times New Roman"/>
                <w:color w:val="000000"/>
              </w:rPr>
            </w:pPr>
            <w:r>
              <w:rPr>
                <w:rFonts w:ascii="Times New Roman" w:hAnsi="Times New Roman"/>
                <w:color w:val="000000"/>
              </w:rPr>
              <w:t>Do</w:t>
            </w:r>
            <w:r w:rsidR="00AC36C8" w:rsidRPr="000D3F79">
              <w:rPr>
                <w:rFonts w:ascii="Times New Roman" w:hAnsi="Times New Roman"/>
                <w:color w:val="000000"/>
              </w:rPr>
              <w:t xml:space="preserve"> wyliczeń kosztów zatrudnienia</w:t>
            </w:r>
            <w:r>
              <w:rPr>
                <w:rFonts w:ascii="Times New Roman" w:hAnsi="Times New Roman"/>
                <w:color w:val="000000"/>
              </w:rPr>
              <w:t xml:space="preserve"> założono</w:t>
            </w:r>
            <w:r w:rsidR="00AC36C8" w:rsidRPr="000D3F79">
              <w:rPr>
                <w:rFonts w:ascii="Times New Roman" w:hAnsi="Times New Roman"/>
                <w:color w:val="000000"/>
              </w:rPr>
              <w:t xml:space="preserve">, że osoby zatrudnione w ramach </w:t>
            </w:r>
            <w:r w:rsidR="00AC36C8">
              <w:rPr>
                <w:rFonts w:ascii="Times New Roman" w:hAnsi="Times New Roman"/>
                <w:color w:val="000000"/>
              </w:rPr>
              <w:t xml:space="preserve">4 etatów </w:t>
            </w:r>
            <w:r w:rsidR="00AC36C8" w:rsidRPr="001F1F25">
              <w:rPr>
                <w:rFonts w:ascii="Times New Roman" w:hAnsi="Times New Roman"/>
                <w:color w:val="000000"/>
              </w:rPr>
              <w:t xml:space="preserve">będą </w:t>
            </w:r>
            <w:r w:rsidR="00F0650F">
              <w:rPr>
                <w:rFonts w:ascii="Times New Roman" w:hAnsi="Times New Roman"/>
                <w:color w:val="000000"/>
              </w:rPr>
              <w:t xml:space="preserve">zatrudnione </w:t>
            </w:r>
            <w:r w:rsidR="00AC36C8" w:rsidRPr="001F1F25">
              <w:rPr>
                <w:rFonts w:ascii="Times New Roman" w:hAnsi="Times New Roman"/>
                <w:color w:val="000000"/>
              </w:rPr>
              <w:t>na stanowisk</w:t>
            </w:r>
            <w:r w:rsidR="00FE16F8">
              <w:rPr>
                <w:rFonts w:ascii="Times New Roman" w:hAnsi="Times New Roman"/>
                <w:color w:val="000000"/>
              </w:rPr>
              <w:t>ach</w:t>
            </w:r>
            <w:r w:rsidR="00AC36C8" w:rsidRPr="001F1F25">
              <w:rPr>
                <w:rFonts w:ascii="Times New Roman" w:hAnsi="Times New Roman"/>
                <w:color w:val="000000"/>
              </w:rPr>
              <w:t xml:space="preserve"> </w:t>
            </w:r>
            <w:r w:rsidR="00FE16F8">
              <w:rPr>
                <w:rFonts w:ascii="Times New Roman" w:hAnsi="Times New Roman"/>
                <w:color w:val="000000"/>
              </w:rPr>
              <w:t xml:space="preserve">od </w:t>
            </w:r>
            <w:r w:rsidR="00AC36C8" w:rsidRPr="001F1F25">
              <w:rPr>
                <w:rFonts w:ascii="Times New Roman" w:hAnsi="Times New Roman"/>
                <w:color w:val="000000"/>
              </w:rPr>
              <w:t>specjalisty</w:t>
            </w:r>
            <w:r w:rsidR="00FE16F8">
              <w:rPr>
                <w:rFonts w:ascii="Times New Roman" w:hAnsi="Times New Roman"/>
                <w:color w:val="000000"/>
              </w:rPr>
              <w:t xml:space="preserve"> do głównego specjalisty</w:t>
            </w:r>
            <w:r w:rsidR="00AC36C8" w:rsidRPr="000D3F79">
              <w:rPr>
                <w:rFonts w:ascii="Times New Roman" w:hAnsi="Times New Roman"/>
                <w:color w:val="000000"/>
              </w:rPr>
              <w:t xml:space="preserve">, natomiast </w:t>
            </w:r>
            <w:r w:rsidR="00AC36C8">
              <w:rPr>
                <w:rFonts w:ascii="Times New Roman" w:hAnsi="Times New Roman"/>
                <w:color w:val="000000"/>
              </w:rPr>
              <w:t>jedna osoba nadzorująca pracę wydziału</w:t>
            </w:r>
            <w:r w:rsidR="00AC36C8" w:rsidRPr="001F1F25">
              <w:rPr>
                <w:rFonts w:ascii="Times New Roman" w:hAnsi="Times New Roman"/>
                <w:color w:val="000000"/>
              </w:rPr>
              <w:t>, b</w:t>
            </w:r>
            <w:r w:rsidR="00AC36C8">
              <w:rPr>
                <w:rFonts w:ascii="Times New Roman" w:hAnsi="Times New Roman"/>
                <w:color w:val="000000"/>
              </w:rPr>
              <w:t>ędzie na stanowisku naczelnika</w:t>
            </w:r>
            <w:r w:rsidR="00924891">
              <w:rPr>
                <w:rFonts w:ascii="Times New Roman" w:hAnsi="Times New Roman"/>
                <w:color w:val="000000"/>
              </w:rPr>
              <w:t xml:space="preserve"> wydziału</w:t>
            </w:r>
            <w:r w:rsidR="00F0650F">
              <w:rPr>
                <w:rFonts w:ascii="Times New Roman" w:hAnsi="Times New Roman"/>
                <w:color w:val="000000"/>
              </w:rPr>
              <w:t>.</w:t>
            </w:r>
          </w:p>
          <w:p w14:paraId="72B79A35" w14:textId="36261B14" w:rsidR="00F05AB8" w:rsidRPr="00F30CC2" w:rsidRDefault="00F05AB8" w:rsidP="00F05AB8">
            <w:pPr>
              <w:tabs>
                <w:tab w:val="left" w:pos="234"/>
              </w:tabs>
              <w:spacing w:line="240" w:lineRule="auto"/>
              <w:jc w:val="both"/>
              <w:rPr>
                <w:rFonts w:ascii="Times New Roman" w:hAnsi="Times New Roman"/>
                <w:b/>
                <w:color w:val="000000"/>
              </w:rPr>
            </w:pPr>
            <w:r w:rsidRPr="00F30CC2">
              <w:rPr>
                <w:rFonts w:ascii="Times New Roman" w:hAnsi="Times New Roman"/>
                <w:b/>
                <w:color w:val="000000"/>
              </w:rPr>
              <w:t xml:space="preserve">Pozycja </w:t>
            </w:r>
            <w:r>
              <w:rPr>
                <w:rFonts w:ascii="Times New Roman" w:hAnsi="Times New Roman"/>
                <w:b/>
                <w:color w:val="000000"/>
              </w:rPr>
              <w:t>3</w:t>
            </w:r>
            <w:r w:rsidRPr="00F30CC2">
              <w:rPr>
                <w:rFonts w:ascii="Times New Roman" w:hAnsi="Times New Roman"/>
                <w:b/>
                <w:color w:val="000000"/>
              </w:rPr>
              <w:t xml:space="preserve"> - </w:t>
            </w:r>
            <w:r>
              <w:rPr>
                <w:rFonts w:ascii="Times New Roman" w:hAnsi="Times New Roman"/>
                <w:b/>
                <w:color w:val="000000"/>
              </w:rPr>
              <w:t>k</w:t>
            </w:r>
            <w:r w:rsidRPr="00F30CC2">
              <w:rPr>
                <w:rFonts w:ascii="Times New Roman" w:hAnsi="Times New Roman"/>
                <w:b/>
                <w:color w:val="000000"/>
              </w:rPr>
              <w:t xml:space="preserve">oszty promocyjne / informacyjne </w:t>
            </w:r>
          </w:p>
          <w:p w14:paraId="6E4CAC3D" w14:textId="11FA66FB" w:rsidR="00C7589F" w:rsidRDefault="00C7589F" w:rsidP="00D579A1">
            <w:pPr>
              <w:tabs>
                <w:tab w:val="left" w:pos="234"/>
              </w:tabs>
              <w:spacing w:after="120" w:line="240" w:lineRule="auto"/>
              <w:jc w:val="both"/>
              <w:rPr>
                <w:rFonts w:ascii="Times New Roman" w:hAnsi="Times New Roman"/>
                <w:color w:val="000000"/>
              </w:rPr>
            </w:pPr>
            <w:r>
              <w:rPr>
                <w:rFonts w:ascii="Times New Roman" w:hAnsi="Times New Roman"/>
                <w:color w:val="000000"/>
              </w:rPr>
              <w:lastRenderedPageBreak/>
              <w:t xml:space="preserve">Obsługa KPK </w:t>
            </w:r>
            <w:r w:rsidR="00AC7478">
              <w:rPr>
                <w:rFonts w:ascii="Times New Roman" w:hAnsi="Times New Roman"/>
                <w:color w:val="000000"/>
              </w:rPr>
              <w:t xml:space="preserve">OZE </w:t>
            </w:r>
            <w:r>
              <w:rPr>
                <w:rFonts w:ascii="Times New Roman" w:hAnsi="Times New Roman"/>
                <w:color w:val="000000"/>
              </w:rPr>
              <w:t>wiąże się z koniecznością przeprowadzenia działań promocyjnych oraz organizacją funkcjonowania KPK</w:t>
            </w:r>
            <w:r w:rsidR="00F05AB8">
              <w:rPr>
                <w:rFonts w:ascii="Times New Roman" w:hAnsi="Times New Roman"/>
                <w:color w:val="000000"/>
              </w:rPr>
              <w:t xml:space="preserve"> OZE i </w:t>
            </w:r>
            <w:r>
              <w:rPr>
                <w:rFonts w:ascii="Times New Roman" w:hAnsi="Times New Roman"/>
                <w:color w:val="000000"/>
              </w:rPr>
              <w:t>kompleksowego przygotowania treści informacyjnych znajdujących się na stronie internetowej KPK</w:t>
            </w:r>
            <w:r w:rsidR="00F05AB8">
              <w:rPr>
                <w:rFonts w:ascii="Times New Roman" w:hAnsi="Times New Roman"/>
                <w:color w:val="000000"/>
              </w:rPr>
              <w:t xml:space="preserve"> OZE.</w:t>
            </w:r>
          </w:p>
          <w:p w14:paraId="0E78A3E3" w14:textId="036EA4DC" w:rsidR="00C7589F" w:rsidRDefault="00391BC4" w:rsidP="00C7589F">
            <w:pPr>
              <w:pStyle w:val="Akapitzlist"/>
              <w:tabs>
                <w:tab w:val="left" w:pos="234"/>
              </w:tabs>
              <w:spacing w:line="240" w:lineRule="auto"/>
              <w:ind w:left="0"/>
              <w:jc w:val="both"/>
              <w:rPr>
                <w:rFonts w:ascii="Times New Roman" w:hAnsi="Times New Roman"/>
                <w:color w:val="000000"/>
              </w:rPr>
            </w:pPr>
            <w:r>
              <w:rPr>
                <w:rFonts w:ascii="Times New Roman" w:hAnsi="Times New Roman"/>
                <w:color w:val="000000"/>
              </w:rPr>
              <w:t>W szczególności o</w:t>
            </w:r>
            <w:r w:rsidR="00C7589F" w:rsidRPr="000D3F79">
              <w:rPr>
                <w:rFonts w:ascii="Times New Roman" w:hAnsi="Times New Roman"/>
                <w:color w:val="000000"/>
              </w:rPr>
              <w:t xml:space="preserve">bejmuje </w:t>
            </w:r>
            <w:r w:rsidR="00FE16F8">
              <w:rPr>
                <w:rFonts w:ascii="Times New Roman" w:hAnsi="Times New Roman"/>
                <w:color w:val="000000"/>
              </w:rPr>
              <w:t xml:space="preserve">to </w:t>
            </w:r>
            <w:r w:rsidR="00C7589F" w:rsidRPr="000D3F79">
              <w:rPr>
                <w:rFonts w:ascii="Times New Roman" w:hAnsi="Times New Roman"/>
                <w:color w:val="000000"/>
              </w:rPr>
              <w:t xml:space="preserve">zlecenie </w:t>
            </w:r>
            <w:r w:rsidR="00847264">
              <w:rPr>
                <w:rFonts w:ascii="Times New Roman" w:hAnsi="Times New Roman"/>
                <w:color w:val="000000"/>
              </w:rPr>
              <w:t>realizacji następujących czynności:</w:t>
            </w:r>
          </w:p>
          <w:p w14:paraId="4533FB87" w14:textId="4E176CCB" w:rsidR="00C7589F" w:rsidRPr="00933704" w:rsidRDefault="00FE16F8" w:rsidP="00933704">
            <w:pPr>
              <w:pStyle w:val="Akapitzlist"/>
              <w:numPr>
                <w:ilvl w:val="0"/>
                <w:numId w:val="180"/>
              </w:numPr>
              <w:spacing w:line="240" w:lineRule="auto"/>
              <w:jc w:val="both"/>
              <w:rPr>
                <w:rFonts w:ascii="Times New Roman" w:hAnsi="Times New Roman"/>
                <w:color w:val="000000"/>
              </w:rPr>
            </w:pPr>
            <w:r>
              <w:rPr>
                <w:rFonts w:ascii="Times New Roman" w:hAnsi="Times New Roman"/>
                <w:color w:val="000000"/>
              </w:rPr>
              <w:t xml:space="preserve">zaprojektowanie, opracowanie merytoryczne oraz </w:t>
            </w:r>
            <w:r w:rsidR="00C7589F" w:rsidRPr="00933704">
              <w:rPr>
                <w:rFonts w:ascii="Times New Roman" w:hAnsi="Times New Roman"/>
                <w:color w:val="000000"/>
              </w:rPr>
              <w:t>wykonani</w:t>
            </w:r>
            <w:r>
              <w:rPr>
                <w:rFonts w:ascii="Times New Roman" w:hAnsi="Times New Roman"/>
                <w:color w:val="000000"/>
              </w:rPr>
              <w:t>e</w:t>
            </w:r>
            <w:r w:rsidR="00C7589F" w:rsidRPr="00933704">
              <w:rPr>
                <w:rFonts w:ascii="Times New Roman" w:hAnsi="Times New Roman"/>
                <w:color w:val="000000"/>
              </w:rPr>
              <w:t xml:space="preserve"> </w:t>
            </w:r>
            <w:r>
              <w:rPr>
                <w:rFonts w:ascii="Times New Roman" w:hAnsi="Times New Roman"/>
                <w:color w:val="000000"/>
              </w:rPr>
              <w:t xml:space="preserve">kompleksowych </w:t>
            </w:r>
            <w:r w:rsidR="00C7589F" w:rsidRPr="00933704">
              <w:rPr>
                <w:rFonts w:ascii="Times New Roman" w:hAnsi="Times New Roman"/>
                <w:color w:val="000000"/>
              </w:rPr>
              <w:t>podręcznik</w:t>
            </w:r>
            <w:r w:rsidR="00391BC4" w:rsidRPr="00933704">
              <w:rPr>
                <w:rFonts w:ascii="Times New Roman" w:hAnsi="Times New Roman"/>
                <w:color w:val="000000"/>
              </w:rPr>
              <w:t>ów</w:t>
            </w:r>
            <w:r w:rsidR="00C7589F" w:rsidRPr="00933704">
              <w:rPr>
                <w:rFonts w:ascii="Times New Roman" w:hAnsi="Times New Roman"/>
                <w:color w:val="000000"/>
              </w:rPr>
              <w:t xml:space="preserve"> procedur </w:t>
            </w:r>
            <w:r>
              <w:rPr>
                <w:rFonts w:ascii="Times New Roman" w:hAnsi="Times New Roman"/>
                <w:color w:val="000000"/>
              </w:rPr>
              <w:t xml:space="preserve">administracyjnych dla wszystkich </w:t>
            </w:r>
            <w:r w:rsidRPr="00FE16F8">
              <w:rPr>
                <w:rFonts w:ascii="Times New Roman" w:hAnsi="Times New Roman"/>
                <w:color w:val="000000"/>
              </w:rPr>
              <w:t xml:space="preserve">(i) wielkości instalacji (mikro, małe, duże instalacje OZE), (ii) technologii (m.in. wiatr, </w:t>
            </w:r>
            <w:proofErr w:type="spellStart"/>
            <w:r w:rsidRPr="00FE16F8">
              <w:rPr>
                <w:rFonts w:ascii="Times New Roman" w:hAnsi="Times New Roman"/>
                <w:color w:val="000000"/>
              </w:rPr>
              <w:t>fotowoltaika</w:t>
            </w:r>
            <w:proofErr w:type="spellEnd"/>
            <w:r w:rsidRPr="00FE16F8">
              <w:rPr>
                <w:rFonts w:ascii="Times New Roman" w:hAnsi="Times New Roman"/>
                <w:color w:val="000000"/>
              </w:rPr>
              <w:t>, biogaz, biomasa, energetyka wodna) oraz (iii) etapów procesu inwestycyjnego (w szczególności etap wyboru lokalizacji, decyzji środowiskowej, zmiany studium zagospodarowania przestrzennego, przyjęcia lub zmiany MPZP, uzyskania przyłączenia do sieci, pozwolenia budowlanego</w:t>
            </w:r>
            <w:r>
              <w:rPr>
                <w:rFonts w:ascii="Times New Roman" w:hAnsi="Times New Roman"/>
                <w:color w:val="000000"/>
              </w:rPr>
              <w:t>, których odbiorcami</w:t>
            </w:r>
            <w:r w:rsidRPr="00FE16F8">
              <w:rPr>
                <w:rFonts w:ascii="Times New Roman" w:hAnsi="Times New Roman"/>
                <w:color w:val="000000"/>
              </w:rPr>
              <w:t xml:space="preserve"> </w:t>
            </w:r>
            <w:r>
              <w:rPr>
                <w:rFonts w:ascii="Times New Roman" w:hAnsi="Times New Roman"/>
                <w:color w:val="000000"/>
              </w:rPr>
              <w:t xml:space="preserve">będą </w:t>
            </w:r>
            <w:r w:rsidR="00C7589F" w:rsidRPr="00933704">
              <w:rPr>
                <w:rFonts w:ascii="Times New Roman" w:hAnsi="Times New Roman"/>
                <w:color w:val="000000"/>
              </w:rPr>
              <w:t>podmiot</w:t>
            </w:r>
            <w:r>
              <w:rPr>
                <w:rFonts w:ascii="Times New Roman" w:hAnsi="Times New Roman"/>
                <w:color w:val="000000"/>
              </w:rPr>
              <w:t>y</w:t>
            </w:r>
            <w:r w:rsidR="00C7589F" w:rsidRPr="00933704">
              <w:rPr>
                <w:rFonts w:ascii="Times New Roman" w:hAnsi="Times New Roman"/>
                <w:color w:val="000000"/>
              </w:rPr>
              <w:t xml:space="preserve"> realizując</w:t>
            </w:r>
            <w:r>
              <w:rPr>
                <w:rFonts w:ascii="Times New Roman" w:hAnsi="Times New Roman"/>
                <w:color w:val="000000"/>
              </w:rPr>
              <w:t>e</w:t>
            </w:r>
            <w:r w:rsidR="00C7589F" w:rsidRPr="00933704">
              <w:rPr>
                <w:rFonts w:ascii="Times New Roman" w:hAnsi="Times New Roman"/>
                <w:color w:val="000000"/>
              </w:rPr>
              <w:t xml:space="preserve"> projekty w zakresie produkcji energii odnawialnej</w:t>
            </w:r>
            <w:r w:rsidR="00847264">
              <w:rPr>
                <w:rFonts w:ascii="Times New Roman" w:hAnsi="Times New Roman"/>
                <w:color w:val="000000"/>
              </w:rPr>
              <w:t>.</w:t>
            </w:r>
            <w:r w:rsidR="00C7589F" w:rsidRPr="00933704">
              <w:rPr>
                <w:rFonts w:ascii="Times New Roman" w:hAnsi="Times New Roman"/>
                <w:color w:val="000000"/>
              </w:rPr>
              <w:t xml:space="preserve"> </w:t>
            </w:r>
            <w:r w:rsidR="00847264">
              <w:rPr>
                <w:rFonts w:ascii="Times New Roman" w:hAnsi="Times New Roman"/>
                <w:color w:val="000000"/>
              </w:rPr>
              <w:t xml:space="preserve">W </w:t>
            </w:r>
            <w:r>
              <w:rPr>
                <w:rFonts w:ascii="Times New Roman" w:hAnsi="Times New Roman"/>
                <w:color w:val="000000"/>
              </w:rPr>
              <w:t xml:space="preserve">szczególności </w:t>
            </w:r>
            <w:r w:rsidR="00C7589F" w:rsidRPr="00933704">
              <w:rPr>
                <w:rFonts w:ascii="Times New Roman" w:hAnsi="Times New Roman"/>
                <w:color w:val="000000"/>
              </w:rPr>
              <w:t xml:space="preserve">przygotowanie </w:t>
            </w:r>
            <w:r w:rsidR="00924891">
              <w:rPr>
                <w:rFonts w:ascii="Times New Roman" w:hAnsi="Times New Roman"/>
                <w:color w:val="000000"/>
              </w:rPr>
              <w:t xml:space="preserve">układu </w:t>
            </w:r>
            <w:r w:rsidR="00C7589F" w:rsidRPr="00933704">
              <w:rPr>
                <w:rFonts w:ascii="Times New Roman" w:hAnsi="Times New Roman"/>
                <w:color w:val="000000"/>
              </w:rPr>
              <w:t xml:space="preserve">treści, opracowanie grafik oraz projektu graficznego </w:t>
            </w:r>
            <w:r w:rsidR="00924891">
              <w:rPr>
                <w:rFonts w:ascii="Times New Roman" w:hAnsi="Times New Roman"/>
                <w:color w:val="000000"/>
              </w:rPr>
              <w:t xml:space="preserve">stron oraz </w:t>
            </w:r>
            <w:r w:rsidR="00C7589F" w:rsidRPr="00933704">
              <w:rPr>
                <w:rFonts w:ascii="Times New Roman" w:hAnsi="Times New Roman"/>
                <w:color w:val="000000"/>
              </w:rPr>
              <w:t xml:space="preserve">okładki, </w:t>
            </w:r>
            <w:proofErr w:type="spellStart"/>
            <w:r w:rsidR="00C7589F" w:rsidRPr="00933704">
              <w:rPr>
                <w:rFonts w:ascii="Times New Roman" w:hAnsi="Times New Roman"/>
                <w:color w:val="000000"/>
              </w:rPr>
              <w:t>layout’u</w:t>
            </w:r>
            <w:proofErr w:type="spellEnd"/>
            <w:r w:rsidR="00C7589F" w:rsidRPr="00933704">
              <w:rPr>
                <w:rFonts w:ascii="Times New Roman" w:hAnsi="Times New Roman"/>
                <w:color w:val="000000"/>
              </w:rPr>
              <w:t xml:space="preserve"> stron, składu </w:t>
            </w:r>
            <w:r w:rsidR="00924891">
              <w:rPr>
                <w:rFonts w:ascii="Times New Roman" w:hAnsi="Times New Roman"/>
                <w:color w:val="000000"/>
              </w:rPr>
              <w:t xml:space="preserve">oraz korekty </w:t>
            </w:r>
            <w:r w:rsidR="00C7589F" w:rsidRPr="00933704">
              <w:rPr>
                <w:rFonts w:ascii="Times New Roman" w:hAnsi="Times New Roman"/>
                <w:color w:val="000000"/>
              </w:rPr>
              <w:t>tekstu</w:t>
            </w:r>
            <w:r w:rsidR="00933704">
              <w:rPr>
                <w:rFonts w:ascii="Times New Roman" w:hAnsi="Times New Roman"/>
                <w:color w:val="000000"/>
              </w:rPr>
              <w:t>;</w:t>
            </w:r>
          </w:p>
          <w:p w14:paraId="73A88F5C" w14:textId="56374A33" w:rsidR="00D83CA3" w:rsidRPr="00CA129A" w:rsidRDefault="00924891" w:rsidP="00212D5C">
            <w:pPr>
              <w:pStyle w:val="Akapitzlist"/>
              <w:numPr>
                <w:ilvl w:val="0"/>
                <w:numId w:val="180"/>
              </w:numPr>
              <w:spacing w:after="120" w:line="240" w:lineRule="auto"/>
              <w:jc w:val="both"/>
              <w:rPr>
                <w:rFonts w:ascii="Times New Roman" w:hAnsi="Times New Roman"/>
                <w:color w:val="000000"/>
              </w:rPr>
            </w:pPr>
            <w:r w:rsidRPr="00CA129A">
              <w:rPr>
                <w:rFonts w:ascii="Times New Roman" w:hAnsi="Times New Roman"/>
                <w:color w:val="000000"/>
              </w:rPr>
              <w:t xml:space="preserve">zaprojektowanie </w:t>
            </w:r>
            <w:r w:rsidR="00C7589F" w:rsidRPr="00CA129A">
              <w:rPr>
                <w:rFonts w:ascii="Times New Roman" w:hAnsi="Times New Roman"/>
                <w:color w:val="000000"/>
              </w:rPr>
              <w:t xml:space="preserve">strony internetowej </w:t>
            </w:r>
            <w:r w:rsidRPr="00CA129A">
              <w:rPr>
                <w:rFonts w:ascii="Times New Roman" w:hAnsi="Times New Roman"/>
                <w:color w:val="000000"/>
              </w:rPr>
              <w:t>KPK OZE, rozmieszczenie i</w:t>
            </w:r>
            <w:r w:rsidR="004C0172">
              <w:rPr>
                <w:rFonts w:ascii="Times New Roman" w:hAnsi="Times New Roman"/>
                <w:color w:val="000000"/>
              </w:rPr>
              <w:t xml:space="preserve"> </w:t>
            </w:r>
            <w:r w:rsidR="00391BC4" w:rsidRPr="00CA129A">
              <w:rPr>
                <w:rFonts w:ascii="Times New Roman" w:hAnsi="Times New Roman"/>
                <w:color w:val="000000"/>
              </w:rPr>
              <w:t xml:space="preserve">wypełnienie jej </w:t>
            </w:r>
            <w:r w:rsidRPr="008534C0">
              <w:rPr>
                <w:rFonts w:ascii="Times New Roman" w:hAnsi="Times New Roman"/>
                <w:color w:val="000000"/>
              </w:rPr>
              <w:t>informacjami i instrukcjami dotyczącymi</w:t>
            </w:r>
            <w:r w:rsidR="004C0172">
              <w:rPr>
                <w:rFonts w:ascii="Times New Roman" w:hAnsi="Times New Roman"/>
                <w:color w:val="000000"/>
              </w:rPr>
              <w:t xml:space="preserve"> </w:t>
            </w:r>
            <w:r w:rsidR="00C7589F" w:rsidRPr="008534C0">
              <w:rPr>
                <w:rFonts w:ascii="Times New Roman" w:hAnsi="Times New Roman"/>
                <w:color w:val="000000"/>
              </w:rPr>
              <w:t>procedur</w:t>
            </w:r>
            <w:r w:rsidRPr="008534C0">
              <w:rPr>
                <w:rFonts w:ascii="Times New Roman" w:hAnsi="Times New Roman"/>
                <w:color w:val="000000"/>
              </w:rPr>
              <w:t xml:space="preserve"> administracyjnych</w:t>
            </w:r>
            <w:r w:rsidR="004C0172">
              <w:rPr>
                <w:rFonts w:ascii="Times New Roman" w:hAnsi="Times New Roman"/>
                <w:color w:val="000000"/>
              </w:rPr>
              <w:t xml:space="preserve"> </w:t>
            </w:r>
            <w:r w:rsidR="00C7589F" w:rsidRPr="008534C0">
              <w:rPr>
                <w:rFonts w:ascii="Times New Roman" w:hAnsi="Times New Roman"/>
                <w:color w:val="000000"/>
              </w:rPr>
              <w:t>dla podmiotów realizujących projekty w zakresie produkcji energii odnawialnej (</w:t>
            </w:r>
            <w:r w:rsidRPr="008534C0">
              <w:rPr>
                <w:rFonts w:ascii="Times New Roman" w:hAnsi="Times New Roman"/>
                <w:color w:val="000000"/>
              </w:rPr>
              <w:t xml:space="preserve">w szczególności </w:t>
            </w:r>
            <w:r w:rsidR="00C7589F" w:rsidRPr="008534C0">
              <w:rPr>
                <w:rFonts w:ascii="Times New Roman" w:hAnsi="Times New Roman"/>
                <w:color w:val="000000"/>
              </w:rPr>
              <w:t>koncepcyjne oraz graficzne opracowanie wypełnienia strony internetowej</w:t>
            </w:r>
            <w:r w:rsidRPr="008534C0">
              <w:rPr>
                <w:rFonts w:ascii="Times New Roman" w:hAnsi="Times New Roman"/>
                <w:color w:val="000000"/>
              </w:rPr>
              <w:t>, stworzenie mapy strony internetowej KPK OZE, budowa bazy danych podmiotów administracji terenowej</w:t>
            </w:r>
            <w:r w:rsidR="004C0172">
              <w:rPr>
                <w:rFonts w:ascii="Times New Roman" w:hAnsi="Times New Roman"/>
                <w:color w:val="000000"/>
              </w:rPr>
              <w:t xml:space="preserve"> </w:t>
            </w:r>
            <w:r w:rsidRPr="008534C0">
              <w:rPr>
                <w:rFonts w:ascii="Times New Roman" w:hAnsi="Times New Roman"/>
                <w:color w:val="000000"/>
              </w:rPr>
              <w:t xml:space="preserve">odpowiedzialnych za proces inwestycyjny w zależności od (i) wielkości instalacji (mikro, małe, duże instalacje OZE), (ii) technologii (m.in. wiatr, </w:t>
            </w:r>
            <w:proofErr w:type="spellStart"/>
            <w:r w:rsidRPr="008534C0">
              <w:rPr>
                <w:rFonts w:ascii="Times New Roman" w:hAnsi="Times New Roman"/>
                <w:color w:val="000000"/>
              </w:rPr>
              <w:t>fotowoltaika</w:t>
            </w:r>
            <w:proofErr w:type="spellEnd"/>
            <w:r w:rsidRPr="008534C0">
              <w:rPr>
                <w:rFonts w:ascii="Times New Roman" w:hAnsi="Times New Roman"/>
                <w:color w:val="000000"/>
              </w:rPr>
              <w:t>, biogaz, biomasa, energetyka wodna) oraz (iii) etapów procesu inwestycyjnego (w szczególności etap wyboru lokalizacji, decyzji środowiskowej, zmiany studium zagospodarowania przestrzennego, przyjęcia lub zmiany MPZP, uzyskania przyłączenia do sieci, pozwolenia budowlanego</w:t>
            </w:r>
            <w:r w:rsidR="00847264" w:rsidRPr="008534C0">
              <w:rPr>
                <w:rFonts w:ascii="Times New Roman" w:hAnsi="Times New Roman"/>
                <w:color w:val="000000"/>
              </w:rPr>
              <w:t>)</w:t>
            </w:r>
            <w:r w:rsidRPr="008534C0">
              <w:rPr>
                <w:rFonts w:ascii="Times New Roman" w:hAnsi="Times New Roman"/>
                <w:color w:val="000000"/>
              </w:rPr>
              <w:t>, w tym także zaprojektowanie odpowiednich skryptów skutkujących personalizacją informacji otrzymywanych przez wnioskodawcę</w:t>
            </w:r>
            <w:r w:rsidR="00847264" w:rsidRPr="008534C0">
              <w:rPr>
                <w:rFonts w:ascii="Times New Roman" w:hAnsi="Times New Roman"/>
                <w:color w:val="000000"/>
              </w:rPr>
              <w:t xml:space="preserve"> (np. po wpisaniu kody pocztowego wskazane zostaną dane kontaktowe właściwych urzędów)</w:t>
            </w:r>
            <w:r w:rsidR="00C7589F" w:rsidRPr="008534C0">
              <w:rPr>
                <w:rFonts w:ascii="Times New Roman" w:hAnsi="Times New Roman"/>
                <w:color w:val="000000"/>
              </w:rPr>
              <w:t>.</w:t>
            </w:r>
          </w:p>
          <w:p w14:paraId="5C0792BA" w14:textId="40B98A7B" w:rsidR="00C7589F" w:rsidRDefault="00D83CA3" w:rsidP="00212D5C">
            <w:pPr>
              <w:tabs>
                <w:tab w:val="left" w:pos="234"/>
              </w:tabs>
              <w:spacing w:after="120" w:line="240" w:lineRule="auto"/>
              <w:jc w:val="both"/>
              <w:rPr>
                <w:rFonts w:ascii="Times New Roman" w:hAnsi="Times New Roman"/>
                <w:color w:val="000000"/>
              </w:rPr>
            </w:pPr>
            <w:r>
              <w:rPr>
                <w:rFonts w:ascii="Times New Roman" w:hAnsi="Times New Roman"/>
                <w:color w:val="000000"/>
              </w:rPr>
              <w:t>K</w:t>
            </w:r>
            <w:r w:rsidR="00C7589F" w:rsidRPr="000A73D6">
              <w:rPr>
                <w:rFonts w:ascii="Times New Roman" w:hAnsi="Times New Roman"/>
                <w:color w:val="000000"/>
              </w:rPr>
              <w:t xml:space="preserve">oszt </w:t>
            </w:r>
            <w:r w:rsidR="000A73D6">
              <w:rPr>
                <w:rFonts w:ascii="Times New Roman" w:hAnsi="Times New Roman"/>
                <w:color w:val="000000"/>
              </w:rPr>
              <w:t xml:space="preserve">ww. </w:t>
            </w:r>
            <w:r w:rsidR="00C7589F" w:rsidRPr="000A73D6">
              <w:rPr>
                <w:rFonts w:ascii="Times New Roman" w:hAnsi="Times New Roman"/>
                <w:color w:val="000000"/>
              </w:rPr>
              <w:t xml:space="preserve">działań promocyjnych </w:t>
            </w:r>
            <w:r>
              <w:rPr>
                <w:rFonts w:ascii="Times New Roman" w:hAnsi="Times New Roman"/>
                <w:color w:val="000000"/>
              </w:rPr>
              <w:t xml:space="preserve">(opracowanie podręcznika i kompleksowe przygotowanie platformy informacyjnej na stronie WWW) </w:t>
            </w:r>
            <w:r w:rsidR="00C7589F" w:rsidRPr="000A73D6">
              <w:rPr>
                <w:rFonts w:ascii="Times New Roman" w:hAnsi="Times New Roman"/>
                <w:color w:val="000000"/>
              </w:rPr>
              <w:t>oszacowano na 1 mln zł w 2023 r.</w:t>
            </w:r>
          </w:p>
          <w:p w14:paraId="5D1228BC" w14:textId="30D39D74" w:rsidR="00F26A65" w:rsidRPr="00870F69" w:rsidRDefault="00F26A65" w:rsidP="00870F69">
            <w:pPr>
              <w:tabs>
                <w:tab w:val="left" w:pos="234"/>
              </w:tabs>
              <w:spacing w:after="120" w:line="240" w:lineRule="auto"/>
              <w:jc w:val="both"/>
              <w:rPr>
                <w:rFonts w:ascii="Times New Roman" w:hAnsi="Times New Roman"/>
                <w:b/>
                <w:color w:val="000000"/>
                <w:u w:val="single"/>
              </w:rPr>
            </w:pPr>
            <w:r>
              <w:rPr>
                <w:rFonts w:ascii="Times New Roman" w:hAnsi="Times New Roman"/>
                <w:b/>
                <w:bCs/>
                <w:color w:val="000000"/>
                <w:u w:val="single"/>
              </w:rPr>
              <w:t>VIII</w:t>
            </w:r>
            <w:r w:rsidRPr="00870F69">
              <w:rPr>
                <w:rFonts w:ascii="Times New Roman" w:hAnsi="Times New Roman"/>
                <w:b/>
                <w:bCs/>
                <w:color w:val="000000"/>
                <w:u w:val="single"/>
              </w:rPr>
              <w:t xml:space="preserve">. </w:t>
            </w:r>
            <w:r w:rsidRPr="00870F69">
              <w:rPr>
                <w:rFonts w:ascii="Times New Roman" w:hAnsi="Times New Roman"/>
                <w:b/>
                <w:color w:val="000000"/>
                <w:u w:val="single"/>
              </w:rPr>
              <w:t>Krajowy plan na rzecz energii i klimatu</w:t>
            </w:r>
          </w:p>
          <w:p w14:paraId="1CB1ACEF" w14:textId="38130F83" w:rsidR="00F26A65" w:rsidRDefault="00F26A65" w:rsidP="00F26A65">
            <w:pPr>
              <w:tabs>
                <w:tab w:val="left" w:pos="234"/>
              </w:tabs>
              <w:spacing w:after="120" w:line="240" w:lineRule="auto"/>
              <w:jc w:val="both"/>
              <w:rPr>
                <w:rFonts w:ascii="Times New Roman" w:hAnsi="Times New Roman"/>
                <w:bCs/>
                <w:color w:val="000000"/>
              </w:rPr>
            </w:pPr>
            <w:r>
              <w:rPr>
                <w:rFonts w:ascii="Times New Roman" w:hAnsi="Times New Roman"/>
                <w:bCs/>
                <w:color w:val="000000"/>
              </w:rPr>
              <w:t>Opracowanie zintegrowanego planu na rzecz energii i klimatu wiąże się z koniecznością przygotowania dwóch komponentów: strategicznego i analityczno-prognostycznego, o szerokim zakresie merytorycznym wskazanym w szczególności w Załączniku 1 do rozporządzenia 2018/1999. Zgodnie z przepisami ww. rozporządzenia</w:t>
            </w:r>
            <w:r w:rsidR="000B3DC8">
              <w:rPr>
                <w:rFonts w:ascii="Times New Roman" w:hAnsi="Times New Roman"/>
                <w:bCs/>
                <w:color w:val="000000"/>
              </w:rPr>
              <w:t>,</w:t>
            </w:r>
            <w:r>
              <w:rPr>
                <w:rFonts w:ascii="Times New Roman" w:hAnsi="Times New Roman"/>
                <w:bCs/>
                <w:color w:val="000000"/>
              </w:rPr>
              <w:t xml:space="preserve"> krajowy plan powinien zwierać część strategiczną (opisującą założenia, cele, polityki i działania), jak również część analityczną – zawierającą diagnozę i prognozy klimatyczno-energetyczne do 2040 r. Analogiczne wymagania znajdują zastosowanie do aktualizacji krajowego planu. Ze względu na wymagania prawne, konieczne jest również przeprowadzenie konsultacji publicznych w wymiarze krajowym i regionalnym (konsultacje międzynarodowe). Dodatkowo</w:t>
            </w:r>
            <w:r w:rsidR="000B3DC8">
              <w:rPr>
                <w:rFonts w:ascii="Times New Roman" w:hAnsi="Times New Roman"/>
                <w:bCs/>
                <w:color w:val="000000"/>
              </w:rPr>
              <w:t>,</w:t>
            </w:r>
            <w:r>
              <w:rPr>
                <w:rFonts w:ascii="Times New Roman" w:hAnsi="Times New Roman"/>
                <w:bCs/>
                <w:color w:val="000000"/>
              </w:rPr>
              <w:t xml:space="preserve"> przewidywana jest również możliwość opracowania strategicznej oceny oddziaływania na środowisko.</w:t>
            </w:r>
          </w:p>
          <w:p w14:paraId="6744113B" w14:textId="77777777" w:rsidR="00F26A65" w:rsidRDefault="00F26A65" w:rsidP="00870F69">
            <w:pPr>
              <w:tabs>
                <w:tab w:val="left" w:pos="234"/>
              </w:tabs>
              <w:spacing w:line="240" w:lineRule="auto"/>
              <w:jc w:val="both"/>
              <w:rPr>
                <w:rFonts w:ascii="Times New Roman" w:hAnsi="Times New Roman"/>
                <w:color w:val="000000"/>
              </w:rPr>
            </w:pPr>
            <w:r w:rsidRPr="00F30CC2">
              <w:rPr>
                <w:rFonts w:ascii="Times New Roman" w:hAnsi="Times New Roman"/>
                <w:b/>
                <w:color w:val="000000"/>
              </w:rPr>
              <w:t xml:space="preserve">Pozycja </w:t>
            </w:r>
            <w:r>
              <w:rPr>
                <w:rFonts w:ascii="Times New Roman" w:hAnsi="Times New Roman"/>
                <w:b/>
                <w:color w:val="000000"/>
              </w:rPr>
              <w:t>4</w:t>
            </w:r>
            <w:r w:rsidRPr="00F30CC2">
              <w:rPr>
                <w:rFonts w:ascii="Times New Roman" w:hAnsi="Times New Roman"/>
                <w:b/>
                <w:color w:val="000000"/>
              </w:rPr>
              <w:t xml:space="preserve"> </w:t>
            </w:r>
            <w:r>
              <w:rPr>
                <w:rFonts w:ascii="Times New Roman" w:hAnsi="Times New Roman"/>
                <w:b/>
                <w:color w:val="000000"/>
              </w:rPr>
              <w:t>– koszty analiz i prognoz</w:t>
            </w:r>
          </w:p>
          <w:p w14:paraId="3955FE6B" w14:textId="77777777" w:rsidR="00F26A65" w:rsidRDefault="00F26A65" w:rsidP="00870F69">
            <w:pPr>
              <w:tabs>
                <w:tab w:val="left" w:pos="234"/>
              </w:tabs>
              <w:spacing w:line="240" w:lineRule="auto"/>
              <w:jc w:val="both"/>
              <w:rPr>
                <w:rFonts w:ascii="Times New Roman" w:hAnsi="Times New Roman"/>
                <w:color w:val="000000"/>
              </w:rPr>
            </w:pPr>
            <w:r>
              <w:rPr>
                <w:rFonts w:ascii="Times New Roman" w:hAnsi="Times New Roman"/>
                <w:bCs/>
                <w:color w:val="000000"/>
              </w:rPr>
              <w:t xml:space="preserve">Sporządzenie krajowego planu na rzecz energii i klimatu wiązać się będzie z koniecznością przeprowadzenia szeregu działań, uwzględniających m.in. zlecenie </w:t>
            </w:r>
            <w:r>
              <w:rPr>
                <w:rFonts w:ascii="Times New Roman" w:hAnsi="Times New Roman"/>
                <w:color w:val="000000"/>
              </w:rPr>
              <w:t>realizacji następujących czynności:</w:t>
            </w:r>
          </w:p>
          <w:p w14:paraId="330E1D9F" w14:textId="77777777" w:rsidR="00F26A65" w:rsidRDefault="00F26A65" w:rsidP="00F26A65">
            <w:pPr>
              <w:pStyle w:val="Akapitzlist"/>
              <w:numPr>
                <w:ilvl w:val="0"/>
                <w:numId w:val="188"/>
              </w:numPr>
              <w:tabs>
                <w:tab w:val="left" w:pos="234"/>
              </w:tabs>
              <w:spacing w:after="120" w:line="240" w:lineRule="auto"/>
              <w:jc w:val="both"/>
              <w:rPr>
                <w:rFonts w:ascii="Times New Roman" w:hAnsi="Times New Roman"/>
                <w:bCs/>
                <w:color w:val="000000"/>
              </w:rPr>
            </w:pPr>
            <w:r w:rsidRPr="00033280">
              <w:rPr>
                <w:rFonts w:ascii="Times New Roman" w:hAnsi="Times New Roman"/>
                <w:bCs/>
                <w:color w:val="000000"/>
              </w:rPr>
              <w:t>opracowani</w:t>
            </w:r>
            <w:r>
              <w:rPr>
                <w:rFonts w:ascii="Times New Roman" w:hAnsi="Times New Roman"/>
                <w:bCs/>
                <w:color w:val="000000"/>
              </w:rPr>
              <w:t>e</w:t>
            </w:r>
            <w:r w:rsidRPr="00033280">
              <w:rPr>
                <w:rFonts w:ascii="Times New Roman" w:hAnsi="Times New Roman"/>
                <w:bCs/>
                <w:color w:val="000000"/>
              </w:rPr>
              <w:t xml:space="preserve"> wieloaspektowych analiz i prognoz o zakresie zgodnym </w:t>
            </w:r>
            <w:r>
              <w:rPr>
                <w:rFonts w:ascii="Times New Roman" w:hAnsi="Times New Roman"/>
                <w:bCs/>
                <w:color w:val="000000"/>
              </w:rPr>
              <w:t>z Załącznikiem 1 do rozporządzenia 2018/1999;</w:t>
            </w:r>
          </w:p>
          <w:p w14:paraId="3F9332EE" w14:textId="77777777" w:rsidR="00F26A65" w:rsidRDefault="00F26A65" w:rsidP="00870F69">
            <w:pPr>
              <w:pStyle w:val="Akapitzlist"/>
              <w:numPr>
                <w:ilvl w:val="0"/>
                <w:numId w:val="188"/>
              </w:numPr>
              <w:tabs>
                <w:tab w:val="left" w:pos="234"/>
              </w:tabs>
              <w:spacing w:after="60" w:line="240" w:lineRule="auto"/>
              <w:jc w:val="both"/>
              <w:rPr>
                <w:rFonts w:ascii="Times New Roman" w:hAnsi="Times New Roman"/>
                <w:bCs/>
                <w:color w:val="000000"/>
              </w:rPr>
            </w:pPr>
            <w:r>
              <w:rPr>
                <w:rFonts w:ascii="Times New Roman" w:hAnsi="Times New Roman"/>
                <w:bCs/>
                <w:color w:val="000000"/>
              </w:rPr>
              <w:t>opracowania strategicznej oceny oddziaływania na środowisko.</w:t>
            </w:r>
          </w:p>
          <w:p w14:paraId="0D15A9F5" w14:textId="167EFD0C" w:rsidR="00F26A65" w:rsidRDefault="00F26A65" w:rsidP="00870F69">
            <w:pPr>
              <w:tabs>
                <w:tab w:val="left" w:pos="234"/>
              </w:tabs>
              <w:spacing w:after="240" w:line="240" w:lineRule="auto"/>
              <w:jc w:val="both"/>
              <w:rPr>
                <w:rFonts w:ascii="Times New Roman" w:hAnsi="Times New Roman"/>
                <w:color w:val="000000"/>
              </w:rPr>
            </w:pPr>
            <w:r>
              <w:rPr>
                <w:rFonts w:ascii="Times New Roman" w:hAnsi="Times New Roman"/>
                <w:color w:val="000000"/>
              </w:rPr>
              <w:t>K</w:t>
            </w:r>
            <w:r w:rsidRPr="000A73D6">
              <w:rPr>
                <w:rFonts w:ascii="Times New Roman" w:hAnsi="Times New Roman"/>
                <w:color w:val="000000"/>
              </w:rPr>
              <w:t xml:space="preserve">oszt działań </w:t>
            </w:r>
            <w:r w:rsidR="005B738B">
              <w:rPr>
                <w:rFonts w:ascii="Times New Roman" w:hAnsi="Times New Roman"/>
                <w:color w:val="000000"/>
              </w:rPr>
              <w:t xml:space="preserve">w ramach Pozycji 4. </w:t>
            </w:r>
            <w:r w:rsidRPr="000A73D6">
              <w:rPr>
                <w:rFonts w:ascii="Times New Roman" w:hAnsi="Times New Roman"/>
                <w:color w:val="000000"/>
              </w:rPr>
              <w:t xml:space="preserve">oszacowano na </w:t>
            </w:r>
            <w:r>
              <w:rPr>
                <w:rFonts w:ascii="Times New Roman" w:hAnsi="Times New Roman"/>
                <w:color w:val="000000"/>
              </w:rPr>
              <w:t>poziomie ok. 3</w:t>
            </w:r>
            <w:r w:rsidRPr="000A73D6">
              <w:rPr>
                <w:rFonts w:ascii="Times New Roman" w:hAnsi="Times New Roman"/>
                <w:color w:val="000000"/>
              </w:rPr>
              <w:t xml:space="preserve"> mln zł w </w:t>
            </w:r>
            <w:r>
              <w:rPr>
                <w:rFonts w:ascii="Times New Roman" w:hAnsi="Times New Roman"/>
                <w:color w:val="000000"/>
              </w:rPr>
              <w:t xml:space="preserve">latach </w:t>
            </w:r>
            <w:r w:rsidRPr="000A73D6">
              <w:rPr>
                <w:rFonts w:ascii="Times New Roman" w:hAnsi="Times New Roman"/>
                <w:color w:val="000000"/>
              </w:rPr>
              <w:t>202</w:t>
            </w:r>
            <w:r>
              <w:rPr>
                <w:rFonts w:ascii="Times New Roman" w:hAnsi="Times New Roman"/>
                <w:color w:val="000000"/>
              </w:rPr>
              <w:t>7-29</w:t>
            </w:r>
            <w:r w:rsidRPr="000A73D6">
              <w:rPr>
                <w:rFonts w:ascii="Times New Roman" w:hAnsi="Times New Roman"/>
                <w:color w:val="000000"/>
              </w:rPr>
              <w:t xml:space="preserve"> r.</w:t>
            </w:r>
            <w:r w:rsidR="00FB1C6A">
              <w:rPr>
                <w:rFonts w:ascii="Times New Roman" w:hAnsi="Times New Roman"/>
                <w:color w:val="000000"/>
              </w:rPr>
              <w:t xml:space="preserve">, </w:t>
            </w:r>
            <w:r>
              <w:rPr>
                <w:rFonts w:ascii="Times New Roman" w:hAnsi="Times New Roman"/>
                <w:color w:val="000000"/>
              </w:rPr>
              <w:t xml:space="preserve"> </w:t>
            </w:r>
            <w:r w:rsidR="00FB1C6A" w:rsidRPr="00FB1C6A">
              <w:rPr>
                <w:rFonts w:ascii="Times New Roman" w:hAnsi="Times New Roman"/>
                <w:color w:val="000000"/>
              </w:rPr>
              <w:t xml:space="preserve">przy czym koszt ten dotyczy opracowania analiz i prognoz wyłącznie w jednym cyklu sporządzenia nowego </w:t>
            </w:r>
            <w:proofErr w:type="spellStart"/>
            <w:r w:rsidR="00FB1C6A" w:rsidRPr="00FB1C6A">
              <w:rPr>
                <w:rFonts w:ascii="Times New Roman" w:hAnsi="Times New Roman"/>
                <w:color w:val="000000"/>
              </w:rPr>
              <w:t>KPEiK</w:t>
            </w:r>
            <w:proofErr w:type="spellEnd"/>
            <w:r w:rsidR="00FB1C6A" w:rsidRPr="00FB1C6A">
              <w:rPr>
                <w:rFonts w:ascii="Times New Roman" w:hAnsi="Times New Roman"/>
                <w:color w:val="000000"/>
              </w:rPr>
              <w:t xml:space="preserve">. Koszt aktualizacji </w:t>
            </w:r>
            <w:proofErr w:type="spellStart"/>
            <w:r w:rsidR="00FB1C6A" w:rsidRPr="00FB1C6A">
              <w:rPr>
                <w:rFonts w:ascii="Times New Roman" w:hAnsi="Times New Roman"/>
                <w:color w:val="000000"/>
              </w:rPr>
              <w:t>KPEiK</w:t>
            </w:r>
            <w:proofErr w:type="spellEnd"/>
            <w:r w:rsidR="00FB1C6A" w:rsidRPr="00FB1C6A">
              <w:rPr>
                <w:rFonts w:ascii="Times New Roman" w:hAnsi="Times New Roman"/>
                <w:color w:val="000000"/>
              </w:rPr>
              <w:t xml:space="preserve"> przewidzianej na lata 2023-24 nie został ujęty w OSR ze względu na wcześniejsze zabezpieczenie środków na ten ce</w:t>
            </w:r>
            <w:r w:rsidR="00FB1C6A">
              <w:rPr>
                <w:rFonts w:ascii="Times New Roman" w:hAnsi="Times New Roman"/>
                <w:color w:val="000000"/>
              </w:rPr>
              <w:t>l.</w:t>
            </w:r>
          </w:p>
          <w:p w14:paraId="5C423732" w14:textId="244476C6" w:rsidR="008534C0" w:rsidRPr="00CA129A" w:rsidRDefault="008534C0" w:rsidP="00212D5C">
            <w:pPr>
              <w:tabs>
                <w:tab w:val="left" w:pos="234"/>
              </w:tabs>
              <w:spacing w:after="120" w:line="240" w:lineRule="auto"/>
              <w:jc w:val="both"/>
              <w:rPr>
                <w:rFonts w:ascii="Times New Roman" w:hAnsi="Times New Roman"/>
                <w:b/>
                <w:bCs/>
                <w:color w:val="000000"/>
                <w:u w:val="single"/>
              </w:rPr>
            </w:pPr>
            <w:r w:rsidRPr="00212D5C">
              <w:rPr>
                <w:rFonts w:ascii="Times New Roman" w:hAnsi="Times New Roman"/>
                <w:b/>
                <w:bCs/>
                <w:color w:val="000000"/>
                <w:u w:val="single"/>
              </w:rPr>
              <w:t xml:space="preserve">Podsumowanie kosztów </w:t>
            </w:r>
            <w:r w:rsidR="00F90163">
              <w:rPr>
                <w:rFonts w:ascii="Times New Roman" w:hAnsi="Times New Roman"/>
                <w:b/>
                <w:bCs/>
                <w:color w:val="000000"/>
                <w:u w:val="single"/>
              </w:rPr>
              <w:t xml:space="preserve">przedstawionych regulacji </w:t>
            </w:r>
          </w:p>
          <w:p w14:paraId="3C11B591" w14:textId="537A1CF1" w:rsidR="008534C0" w:rsidRPr="00212D5C" w:rsidRDefault="008534C0" w:rsidP="00212D5C">
            <w:pPr>
              <w:tabs>
                <w:tab w:val="left" w:pos="234"/>
              </w:tabs>
              <w:spacing w:line="240" w:lineRule="auto"/>
              <w:jc w:val="both"/>
              <w:rPr>
                <w:rFonts w:ascii="Times New Roman" w:hAnsi="Times New Roman"/>
                <w:color w:val="000000"/>
                <w:u w:val="single"/>
              </w:rPr>
            </w:pPr>
            <w:r w:rsidRPr="00212D5C">
              <w:rPr>
                <w:rFonts w:ascii="Times New Roman" w:hAnsi="Times New Roman"/>
                <w:color w:val="000000"/>
                <w:u w:val="single"/>
              </w:rPr>
              <w:t>Ministerstwo Klimatu i Środowiska</w:t>
            </w:r>
          </w:p>
          <w:p w14:paraId="67A7F0EE" w14:textId="54AD129F" w:rsidR="00611BCB" w:rsidRDefault="00611BCB" w:rsidP="00212D5C">
            <w:pPr>
              <w:spacing w:after="60" w:line="240" w:lineRule="auto"/>
              <w:rPr>
                <w:rFonts w:ascii="Times New Roman" w:hAnsi="Times New Roman"/>
                <w:color w:val="000000"/>
              </w:rPr>
            </w:pPr>
            <w:r w:rsidRPr="004B458B">
              <w:rPr>
                <w:rFonts w:ascii="Times New Roman" w:hAnsi="Times New Roman"/>
                <w:color w:val="000000"/>
              </w:rPr>
              <w:t xml:space="preserve">Tabela </w:t>
            </w:r>
            <w:r w:rsidR="004C0172">
              <w:rPr>
                <w:rFonts w:ascii="Times New Roman" w:hAnsi="Times New Roman"/>
                <w:color w:val="000000"/>
              </w:rPr>
              <w:t>10</w:t>
            </w:r>
            <w:r w:rsidRPr="004B458B">
              <w:rPr>
                <w:rFonts w:ascii="Times New Roman" w:hAnsi="Times New Roman"/>
                <w:color w:val="000000"/>
              </w:rPr>
              <w:t>.</w:t>
            </w:r>
            <w:r w:rsidR="00B838EA">
              <w:rPr>
                <w:rFonts w:ascii="Times New Roman" w:hAnsi="Times New Roman"/>
                <w:color w:val="000000"/>
              </w:rPr>
              <w:t xml:space="preserve"> </w:t>
            </w:r>
            <w:r w:rsidR="00B838EA" w:rsidRPr="00B838EA">
              <w:rPr>
                <w:rFonts w:ascii="Times New Roman" w:hAnsi="Times New Roman"/>
                <w:color w:val="000000"/>
              </w:rPr>
              <w:t xml:space="preserve">Planowane koszty </w:t>
            </w:r>
            <w:proofErr w:type="spellStart"/>
            <w:r w:rsidR="00B838EA" w:rsidRPr="00B838EA">
              <w:rPr>
                <w:rFonts w:ascii="Times New Roman" w:hAnsi="Times New Roman"/>
                <w:color w:val="000000"/>
              </w:rPr>
              <w:t>MKiŚ</w:t>
            </w:r>
            <w:proofErr w:type="spellEnd"/>
            <w:r w:rsidR="00B838EA" w:rsidRPr="00B838EA">
              <w:rPr>
                <w:rFonts w:ascii="Times New Roman" w:hAnsi="Times New Roman"/>
                <w:color w:val="000000"/>
              </w:rPr>
              <w:t xml:space="preserve"> od 2023 r. wynikające z utworzenia krajowego punktu kontaktowego OZE, w tym z zatrudnienia pięciu (5) nowych pracowników (Pozycja 1 i 2) oraz </w:t>
            </w:r>
            <w:r w:rsidR="00B838EA" w:rsidRPr="00B838EA">
              <w:rPr>
                <w:rFonts w:ascii="Times New Roman" w:hAnsi="Times New Roman"/>
                <w:color w:val="000000"/>
              </w:rPr>
              <w:lastRenderedPageBreak/>
              <w:t>kosztów promocyjnych i informacyjnych KPK OZE (Pozycja 3), a także z działań związanych z opracowaniem krajowego planu na rzec</w:t>
            </w:r>
            <w:r w:rsidR="00B838EA">
              <w:rPr>
                <w:rFonts w:ascii="Times New Roman" w:hAnsi="Times New Roman"/>
                <w:color w:val="000000"/>
              </w:rPr>
              <w:t>z energii i klimatu (Pozycja 4)</w:t>
            </w:r>
            <w:r w:rsidR="004C6342">
              <w:rPr>
                <w:rFonts w:ascii="Times New Roman" w:hAnsi="Times New Roman"/>
                <w:color w:val="000000"/>
              </w:rPr>
              <w:t>:</w:t>
            </w:r>
          </w:p>
          <w:tbl>
            <w:tblPr>
              <w:tblW w:w="8098" w:type="dxa"/>
              <w:tblLayout w:type="fixed"/>
              <w:tblCellMar>
                <w:left w:w="70" w:type="dxa"/>
                <w:right w:w="70" w:type="dxa"/>
              </w:tblCellMar>
              <w:tblLook w:val="04A0" w:firstRow="1" w:lastRow="0" w:firstColumn="1" w:lastColumn="0" w:noHBand="0" w:noVBand="1"/>
            </w:tblPr>
            <w:tblGrid>
              <w:gridCol w:w="873"/>
              <w:gridCol w:w="731"/>
              <w:gridCol w:w="679"/>
              <w:gridCol w:w="679"/>
              <w:gridCol w:w="719"/>
              <w:gridCol w:w="802"/>
              <w:gridCol w:w="803"/>
              <w:gridCol w:w="802"/>
              <w:gridCol w:w="669"/>
              <w:gridCol w:w="669"/>
              <w:gridCol w:w="672"/>
            </w:tblGrid>
            <w:tr w:rsidR="005B738B" w:rsidRPr="00613236" w14:paraId="39CD32EB" w14:textId="77777777" w:rsidTr="005B738B">
              <w:trPr>
                <w:trHeight w:val="351"/>
              </w:trPr>
              <w:tc>
                <w:tcPr>
                  <w:tcW w:w="87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B9C1995" w14:textId="77777777" w:rsidR="00050785" w:rsidRPr="00A15283" w:rsidRDefault="00050785" w:rsidP="004B458B">
                  <w:pPr>
                    <w:spacing w:line="240" w:lineRule="auto"/>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Pozycja</w:t>
                  </w:r>
                </w:p>
              </w:tc>
              <w:tc>
                <w:tcPr>
                  <w:tcW w:w="731" w:type="dxa"/>
                  <w:tcBorders>
                    <w:top w:val="single" w:sz="8" w:space="0" w:color="auto"/>
                    <w:left w:val="nil"/>
                    <w:bottom w:val="single" w:sz="8" w:space="0" w:color="auto"/>
                    <w:right w:val="single" w:sz="8" w:space="0" w:color="auto"/>
                  </w:tcBorders>
                  <w:shd w:val="clear" w:color="000000" w:fill="D9D9D9"/>
                  <w:noWrap/>
                  <w:vAlign w:val="center"/>
                  <w:hideMark/>
                </w:tcPr>
                <w:p w14:paraId="3E8E5480" w14:textId="75446B27"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2023</w:t>
                  </w:r>
                </w:p>
              </w:tc>
              <w:tc>
                <w:tcPr>
                  <w:tcW w:w="679" w:type="dxa"/>
                  <w:tcBorders>
                    <w:top w:val="single" w:sz="8" w:space="0" w:color="auto"/>
                    <w:left w:val="nil"/>
                    <w:bottom w:val="single" w:sz="8" w:space="0" w:color="auto"/>
                    <w:right w:val="single" w:sz="8" w:space="0" w:color="auto"/>
                  </w:tcBorders>
                  <w:shd w:val="clear" w:color="000000" w:fill="D9D9D9"/>
                  <w:noWrap/>
                  <w:vAlign w:val="center"/>
                  <w:hideMark/>
                </w:tcPr>
                <w:p w14:paraId="754C9780" w14:textId="5CCFBF76"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2024</w:t>
                  </w:r>
                </w:p>
              </w:tc>
              <w:tc>
                <w:tcPr>
                  <w:tcW w:w="679" w:type="dxa"/>
                  <w:tcBorders>
                    <w:top w:val="single" w:sz="8" w:space="0" w:color="auto"/>
                    <w:left w:val="nil"/>
                    <w:bottom w:val="single" w:sz="8" w:space="0" w:color="auto"/>
                    <w:right w:val="single" w:sz="8" w:space="0" w:color="auto"/>
                  </w:tcBorders>
                  <w:shd w:val="clear" w:color="000000" w:fill="D9D9D9"/>
                  <w:noWrap/>
                  <w:vAlign w:val="center"/>
                  <w:hideMark/>
                </w:tcPr>
                <w:p w14:paraId="165D0403" w14:textId="28F0FB4B"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2025</w:t>
                  </w:r>
                </w:p>
              </w:tc>
              <w:tc>
                <w:tcPr>
                  <w:tcW w:w="719" w:type="dxa"/>
                  <w:tcBorders>
                    <w:top w:val="single" w:sz="8" w:space="0" w:color="auto"/>
                    <w:left w:val="nil"/>
                    <w:bottom w:val="single" w:sz="8" w:space="0" w:color="auto"/>
                    <w:right w:val="single" w:sz="8" w:space="0" w:color="auto"/>
                  </w:tcBorders>
                  <w:shd w:val="clear" w:color="000000" w:fill="D9D9D9"/>
                  <w:noWrap/>
                  <w:vAlign w:val="center"/>
                  <w:hideMark/>
                </w:tcPr>
                <w:p w14:paraId="096F99F8" w14:textId="3FE53587"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2026</w:t>
                  </w:r>
                </w:p>
              </w:tc>
              <w:tc>
                <w:tcPr>
                  <w:tcW w:w="802" w:type="dxa"/>
                  <w:tcBorders>
                    <w:top w:val="single" w:sz="8" w:space="0" w:color="auto"/>
                    <w:left w:val="nil"/>
                    <w:bottom w:val="single" w:sz="8" w:space="0" w:color="auto"/>
                    <w:right w:val="single" w:sz="8" w:space="0" w:color="auto"/>
                  </w:tcBorders>
                  <w:shd w:val="clear" w:color="000000" w:fill="D9D9D9"/>
                  <w:noWrap/>
                  <w:vAlign w:val="center"/>
                  <w:hideMark/>
                </w:tcPr>
                <w:p w14:paraId="19727F63" w14:textId="5743483E"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2027</w:t>
                  </w:r>
                </w:p>
              </w:tc>
              <w:tc>
                <w:tcPr>
                  <w:tcW w:w="803" w:type="dxa"/>
                  <w:tcBorders>
                    <w:top w:val="single" w:sz="8" w:space="0" w:color="auto"/>
                    <w:left w:val="nil"/>
                    <w:bottom w:val="single" w:sz="8" w:space="0" w:color="auto"/>
                    <w:right w:val="single" w:sz="8" w:space="0" w:color="auto"/>
                  </w:tcBorders>
                  <w:shd w:val="clear" w:color="000000" w:fill="D9D9D9"/>
                  <w:noWrap/>
                  <w:vAlign w:val="center"/>
                  <w:hideMark/>
                </w:tcPr>
                <w:p w14:paraId="588DA698" w14:textId="4B37684F"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2028</w:t>
                  </w:r>
                </w:p>
              </w:tc>
              <w:tc>
                <w:tcPr>
                  <w:tcW w:w="802" w:type="dxa"/>
                  <w:tcBorders>
                    <w:top w:val="single" w:sz="8" w:space="0" w:color="auto"/>
                    <w:left w:val="nil"/>
                    <w:bottom w:val="single" w:sz="8" w:space="0" w:color="auto"/>
                    <w:right w:val="single" w:sz="8" w:space="0" w:color="auto"/>
                  </w:tcBorders>
                  <w:shd w:val="clear" w:color="000000" w:fill="D9D9D9"/>
                  <w:noWrap/>
                  <w:vAlign w:val="center"/>
                  <w:hideMark/>
                </w:tcPr>
                <w:p w14:paraId="4D3D06CF" w14:textId="27A98D38"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2029</w:t>
                  </w:r>
                </w:p>
              </w:tc>
              <w:tc>
                <w:tcPr>
                  <w:tcW w:w="669" w:type="dxa"/>
                  <w:tcBorders>
                    <w:top w:val="single" w:sz="8" w:space="0" w:color="auto"/>
                    <w:left w:val="nil"/>
                    <w:bottom w:val="single" w:sz="8" w:space="0" w:color="auto"/>
                    <w:right w:val="single" w:sz="8" w:space="0" w:color="auto"/>
                  </w:tcBorders>
                  <w:shd w:val="clear" w:color="000000" w:fill="D9D9D9"/>
                  <w:noWrap/>
                  <w:vAlign w:val="center"/>
                  <w:hideMark/>
                </w:tcPr>
                <w:p w14:paraId="393B1B20" w14:textId="2E9B741D"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2030</w:t>
                  </w:r>
                </w:p>
              </w:tc>
              <w:tc>
                <w:tcPr>
                  <w:tcW w:w="669" w:type="dxa"/>
                  <w:tcBorders>
                    <w:top w:val="single" w:sz="8" w:space="0" w:color="auto"/>
                    <w:left w:val="nil"/>
                    <w:bottom w:val="single" w:sz="8" w:space="0" w:color="auto"/>
                    <w:right w:val="single" w:sz="8" w:space="0" w:color="auto"/>
                  </w:tcBorders>
                  <w:shd w:val="clear" w:color="000000" w:fill="D9D9D9"/>
                  <w:noWrap/>
                  <w:vAlign w:val="center"/>
                  <w:hideMark/>
                </w:tcPr>
                <w:p w14:paraId="2B8C71FE" w14:textId="1CC23D0D"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2031</w:t>
                  </w:r>
                </w:p>
              </w:tc>
              <w:tc>
                <w:tcPr>
                  <w:tcW w:w="668" w:type="dxa"/>
                  <w:tcBorders>
                    <w:top w:val="single" w:sz="8" w:space="0" w:color="auto"/>
                    <w:left w:val="nil"/>
                    <w:bottom w:val="single" w:sz="8" w:space="0" w:color="auto"/>
                    <w:right w:val="single" w:sz="8" w:space="0" w:color="auto"/>
                  </w:tcBorders>
                  <w:shd w:val="clear" w:color="000000" w:fill="D9D9D9"/>
                  <w:noWrap/>
                  <w:vAlign w:val="center"/>
                  <w:hideMark/>
                </w:tcPr>
                <w:p w14:paraId="45FDEF2C" w14:textId="62ACDE42" w:rsidR="00050785" w:rsidRPr="00A15283" w:rsidRDefault="00050785" w:rsidP="008E0EF6">
                  <w:pPr>
                    <w:spacing w:line="240" w:lineRule="auto"/>
                    <w:jc w:val="center"/>
                    <w:rPr>
                      <w:rFonts w:ascii="Times New Roman" w:eastAsia="Times New Roman" w:hAnsi="Times New Roman"/>
                      <w:b/>
                      <w:bCs/>
                      <w:color w:val="000000"/>
                      <w:sz w:val="18"/>
                      <w:szCs w:val="18"/>
                      <w:lang w:eastAsia="pl-PL"/>
                    </w:rPr>
                  </w:pPr>
                  <w:r w:rsidRPr="00A15283">
                    <w:rPr>
                      <w:rFonts w:ascii="Times New Roman" w:hAnsi="Times New Roman"/>
                      <w:b/>
                      <w:bCs/>
                      <w:sz w:val="18"/>
                      <w:szCs w:val="18"/>
                    </w:rPr>
                    <w:t>2032</w:t>
                  </w:r>
                </w:p>
              </w:tc>
            </w:tr>
            <w:tr w:rsidR="00352F63" w:rsidRPr="00613236" w14:paraId="5E9E8B42" w14:textId="77777777" w:rsidTr="00870F69">
              <w:trPr>
                <w:trHeight w:val="351"/>
              </w:trPr>
              <w:tc>
                <w:tcPr>
                  <w:tcW w:w="873" w:type="dxa"/>
                  <w:tcBorders>
                    <w:top w:val="nil"/>
                    <w:left w:val="single" w:sz="8" w:space="0" w:color="auto"/>
                    <w:bottom w:val="single" w:sz="8" w:space="0" w:color="auto"/>
                    <w:right w:val="single" w:sz="8" w:space="0" w:color="auto"/>
                  </w:tcBorders>
                  <w:shd w:val="clear" w:color="000000" w:fill="D9D9D9"/>
                  <w:noWrap/>
                  <w:vAlign w:val="center"/>
                  <w:hideMark/>
                </w:tcPr>
                <w:p w14:paraId="1027233C" w14:textId="77777777" w:rsidR="00352F63" w:rsidRPr="00A15283" w:rsidRDefault="00352F63" w:rsidP="00352F63">
                  <w:pPr>
                    <w:spacing w:line="240" w:lineRule="auto"/>
                    <w:jc w:val="center"/>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 </w:t>
                  </w:r>
                </w:p>
              </w:tc>
              <w:tc>
                <w:tcPr>
                  <w:tcW w:w="7225"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487F81AC" w14:textId="77777777" w:rsidR="00352F63" w:rsidRPr="00A15283" w:rsidRDefault="00352F63" w:rsidP="00352F63">
                  <w:pPr>
                    <w:spacing w:line="240" w:lineRule="auto"/>
                    <w:jc w:val="center"/>
                    <w:rPr>
                      <w:rFonts w:ascii="Times New Roman" w:eastAsia="Times New Roman" w:hAnsi="Times New Roman"/>
                      <w:b/>
                      <w:bCs/>
                      <w:color w:val="000000"/>
                      <w:sz w:val="18"/>
                      <w:szCs w:val="18"/>
                      <w:lang w:eastAsia="pl-PL"/>
                    </w:rPr>
                  </w:pPr>
                  <w:r w:rsidRPr="00A15283">
                    <w:rPr>
                      <w:rFonts w:ascii="Times New Roman" w:eastAsia="Times New Roman" w:hAnsi="Times New Roman"/>
                      <w:b/>
                      <w:bCs/>
                      <w:color w:val="000000"/>
                      <w:sz w:val="18"/>
                      <w:szCs w:val="18"/>
                      <w:lang w:eastAsia="pl-PL"/>
                    </w:rPr>
                    <w:t>Koszty w zł</w:t>
                  </w:r>
                </w:p>
              </w:tc>
            </w:tr>
            <w:tr w:rsidR="005B738B" w:rsidRPr="00A15283" w14:paraId="0FA5574A" w14:textId="77777777" w:rsidTr="005B738B">
              <w:trPr>
                <w:trHeight w:val="351"/>
              </w:trPr>
              <w:tc>
                <w:tcPr>
                  <w:tcW w:w="87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30928B" w14:textId="1CD76F35" w:rsidR="00613236" w:rsidRPr="00A15283" w:rsidRDefault="00613236" w:rsidP="00613236">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 xml:space="preserve">Pozycja </w:t>
                  </w:r>
                  <w:r w:rsidR="00AE768B" w:rsidRPr="00A15283">
                    <w:rPr>
                      <w:rFonts w:ascii="Times New Roman" w:eastAsia="Times New Roman" w:hAnsi="Times New Roman"/>
                      <w:color w:val="000000"/>
                      <w:sz w:val="18"/>
                      <w:szCs w:val="18"/>
                      <w:lang w:eastAsia="pl-PL"/>
                    </w:rPr>
                    <w:t>1</w:t>
                  </w:r>
                </w:p>
              </w:tc>
              <w:tc>
                <w:tcPr>
                  <w:tcW w:w="731" w:type="dxa"/>
                  <w:tcBorders>
                    <w:top w:val="nil"/>
                    <w:left w:val="single" w:sz="8" w:space="0" w:color="000000"/>
                    <w:bottom w:val="single" w:sz="8" w:space="0" w:color="000000"/>
                    <w:right w:val="single" w:sz="8" w:space="0" w:color="000000"/>
                  </w:tcBorders>
                  <w:shd w:val="clear" w:color="auto" w:fill="auto"/>
                  <w:noWrap/>
                  <w:vAlign w:val="center"/>
                </w:tcPr>
                <w:p w14:paraId="3472D782" w14:textId="4795FE5F"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50</w:t>
                  </w:r>
                  <w:r w:rsidR="008E0EF6" w:rsidRPr="00A15283">
                    <w:rPr>
                      <w:rFonts w:ascii="Times New Roman" w:hAnsi="Times New Roman"/>
                      <w:color w:val="000000"/>
                      <w:sz w:val="18"/>
                      <w:szCs w:val="18"/>
                    </w:rPr>
                    <w:t xml:space="preserve"> </w:t>
                  </w:r>
                  <w:r w:rsidRPr="00A15283">
                    <w:rPr>
                      <w:rFonts w:ascii="Times New Roman" w:hAnsi="Times New Roman"/>
                      <w:color w:val="000000"/>
                      <w:sz w:val="18"/>
                      <w:szCs w:val="18"/>
                    </w:rPr>
                    <w:t>00</w:t>
                  </w:r>
                  <w:r w:rsidR="00613236" w:rsidRPr="00A15283">
                    <w:rPr>
                      <w:rFonts w:ascii="Times New Roman" w:hAnsi="Times New Roman"/>
                      <w:color w:val="000000"/>
                      <w:sz w:val="18"/>
                      <w:szCs w:val="18"/>
                    </w:rPr>
                    <w:t>0</w:t>
                  </w:r>
                </w:p>
              </w:tc>
              <w:tc>
                <w:tcPr>
                  <w:tcW w:w="679" w:type="dxa"/>
                  <w:tcBorders>
                    <w:top w:val="nil"/>
                    <w:left w:val="single" w:sz="8" w:space="0" w:color="000000"/>
                    <w:bottom w:val="single" w:sz="8" w:space="0" w:color="000000"/>
                    <w:right w:val="single" w:sz="8" w:space="0" w:color="000000"/>
                  </w:tcBorders>
                  <w:shd w:val="clear" w:color="auto" w:fill="auto"/>
                  <w:noWrap/>
                  <w:vAlign w:val="center"/>
                </w:tcPr>
                <w:p w14:paraId="34C25731" w14:textId="0FD206F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79" w:type="dxa"/>
                  <w:tcBorders>
                    <w:top w:val="nil"/>
                    <w:left w:val="single" w:sz="8" w:space="0" w:color="000000"/>
                    <w:bottom w:val="single" w:sz="8" w:space="0" w:color="000000"/>
                    <w:right w:val="single" w:sz="8" w:space="0" w:color="000000"/>
                  </w:tcBorders>
                  <w:shd w:val="clear" w:color="auto" w:fill="auto"/>
                  <w:noWrap/>
                  <w:vAlign w:val="center"/>
                </w:tcPr>
                <w:p w14:paraId="1E97B8C9" w14:textId="32F0158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719" w:type="dxa"/>
                  <w:tcBorders>
                    <w:top w:val="nil"/>
                    <w:left w:val="single" w:sz="8" w:space="0" w:color="000000"/>
                    <w:bottom w:val="single" w:sz="8" w:space="0" w:color="000000"/>
                    <w:right w:val="single" w:sz="8" w:space="0" w:color="000000"/>
                  </w:tcBorders>
                  <w:shd w:val="clear" w:color="auto" w:fill="auto"/>
                  <w:noWrap/>
                  <w:vAlign w:val="center"/>
                </w:tcPr>
                <w:p w14:paraId="3D98C386" w14:textId="3F75C36A"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2" w:type="dxa"/>
                  <w:tcBorders>
                    <w:top w:val="nil"/>
                    <w:left w:val="single" w:sz="8" w:space="0" w:color="000000"/>
                    <w:bottom w:val="single" w:sz="8" w:space="0" w:color="000000"/>
                    <w:right w:val="single" w:sz="8" w:space="0" w:color="000000"/>
                  </w:tcBorders>
                  <w:shd w:val="clear" w:color="auto" w:fill="auto"/>
                  <w:noWrap/>
                  <w:vAlign w:val="center"/>
                </w:tcPr>
                <w:p w14:paraId="2891B09E" w14:textId="23D69346"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3" w:type="dxa"/>
                  <w:tcBorders>
                    <w:top w:val="nil"/>
                    <w:left w:val="single" w:sz="8" w:space="0" w:color="000000"/>
                    <w:bottom w:val="single" w:sz="8" w:space="0" w:color="000000"/>
                    <w:right w:val="single" w:sz="8" w:space="0" w:color="000000"/>
                  </w:tcBorders>
                  <w:shd w:val="clear" w:color="auto" w:fill="auto"/>
                  <w:noWrap/>
                  <w:vAlign w:val="center"/>
                </w:tcPr>
                <w:p w14:paraId="78315511" w14:textId="79DCAF21"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802" w:type="dxa"/>
                  <w:tcBorders>
                    <w:top w:val="nil"/>
                    <w:left w:val="single" w:sz="8" w:space="0" w:color="000000"/>
                    <w:bottom w:val="single" w:sz="8" w:space="0" w:color="000000"/>
                    <w:right w:val="single" w:sz="8" w:space="0" w:color="000000"/>
                  </w:tcBorders>
                  <w:shd w:val="clear" w:color="auto" w:fill="auto"/>
                  <w:noWrap/>
                  <w:vAlign w:val="center"/>
                </w:tcPr>
                <w:p w14:paraId="17996BCF" w14:textId="223788DD"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9" w:type="dxa"/>
                  <w:tcBorders>
                    <w:top w:val="nil"/>
                    <w:left w:val="single" w:sz="8" w:space="0" w:color="000000"/>
                    <w:bottom w:val="single" w:sz="8" w:space="0" w:color="000000"/>
                    <w:right w:val="single" w:sz="8" w:space="0" w:color="000000"/>
                  </w:tcBorders>
                  <w:shd w:val="clear" w:color="auto" w:fill="auto"/>
                  <w:noWrap/>
                  <w:vAlign w:val="center"/>
                </w:tcPr>
                <w:p w14:paraId="73C996C6" w14:textId="478A5423"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9" w:type="dxa"/>
                  <w:tcBorders>
                    <w:top w:val="nil"/>
                    <w:left w:val="single" w:sz="8" w:space="0" w:color="000000"/>
                    <w:bottom w:val="single" w:sz="8" w:space="0" w:color="000000"/>
                    <w:right w:val="single" w:sz="8" w:space="0" w:color="000000"/>
                  </w:tcBorders>
                  <w:shd w:val="clear" w:color="auto" w:fill="auto"/>
                  <w:noWrap/>
                  <w:vAlign w:val="center"/>
                </w:tcPr>
                <w:p w14:paraId="17AA1B13" w14:textId="20CA91FE"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c>
                <w:tcPr>
                  <w:tcW w:w="668" w:type="dxa"/>
                  <w:tcBorders>
                    <w:top w:val="nil"/>
                    <w:left w:val="single" w:sz="8" w:space="0" w:color="000000"/>
                    <w:bottom w:val="single" w:sz="8" w:space="0" w:color="000000"/>
                    <w:right w:val="single" w:sz="8" w:space="0" w:color="000000"/>
                  </w:tcBorders>
                  <w:shd w:val="clear" w:color="auto" w:fill="auto"/>
                  <w:noWrap/>
                  <w:vAlign w:val="center"/>
                </w:tcPr>
                <w:p w14:paraId="73DD662A" w14:textId="164F777F" w:rsidR="00613236" w:rsidRPr="00A15283" w:rsidRDefault="00367685"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color w:val="000000"/>
                      <w:sz w:val="18"/>
                      <w:szCs w:val="18"/>
                    </w:rPr>
                    <w:t>0</w:t>
                  </w:r>
                </w:p>
              </w:tc>
            </w:tr>
            <w:tr w:rsidR="005B738B" w:rsidRPr="00A15283" w14:paraId="3EE2B37F"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3859B7D0" w14:textId="01A7FBC9" w:rsidR="004A2ADB" w:rsidRPr="00A15283" w:rsidRDefault="004A2ADB" w:rsidP="004A2ADB">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Pozycja 2</w:t>
                  </w:r>
                </w:p>
              </w:tc>
              <w:tc>
                <w:tcPr>
                  <w:tcW w:w="731" w:type="dxa"/>
                  <w:tcBorders>
                    <w:top w:val="nil"/>
                    <w:left w:val="nil"/>
                    <w:bottom w:val="single" w:sz="8" w:space="0" w:color="000000"/>
                    <w:right w:val="single" w:sz="8" w:space="0" w:color="000000"/>
                  </w:tcBorders>
                  <w:shd w:val="clear" w:color="auto" w:fill="auto"/>
                  <w:noWrap/>
                  <w:vAlign w:val="center"/>
                </w:tcPr>
                <w:p w14:paraId="64ED8079" w14:textId="7EE15BB4" w:rsidR="004A2ADB" w:rsidRPr="00A15283" w:rsidRDefault="001E4D81" w:rsidP="008E0EF6">
                  <w:pPr>
                    <w:spacing w:line="240" w:lineRule="auto"/>
                    <w:ind w:left="-120"/>
                    <w:jc w:val="right"/>
                    <w:rPr>
                      <w:rFonts w:ascii="Times New Roman" w:eastAsia="Times New Roman" w:hAnsi="Times New Roman"/>
                      <w:color w:val="000000"/>
                      <w:sz w:val="18"/>
                      <w:szCs w:val="18"/>
                      <w:lang w:eastAsia="pl-PL"/>
                    </w:rPr>
                  </w:pPr>
                  <w:r w:rsidRPr="001E4D81">
                    <w:rPr>
                      <w:rFonts w:ascii="Times New Roman" w:hAnsi="Times New Roman"/>
                      <w:sz w:val="18"/>
                      <w:szCs w:val="18"/>
                    </w:rPr>
                    <w:t>701 970</w:t>
                  </w:r>
                </w:p>
              </w:tc>
              <w:tc>
                <w:tcPr>
                  <w:tcW w:w="679" w:type="dxa"/>
                  <w:tcBorders>
                    <w:top w:val="nil"/>
                    <w:left w:val="nil"/>
                    <w:bottom w:val="single" w:sz="8" w:space="0" w:color="000000"/>
                    <w:right w:val="single" w:sz="8" w:space="0" w:color="000000"/>
                  </w:tcBorders>
                  <w:shd w:val="clear" w:color="auto" w:fill="auto"/>
                  <w:noWrap/>
                  <w:vAlign w:val="center"/>
                </w:tcPr>
                <w:p w14:paraId="0666A0F7" w14:textId="6CE4A19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780 676</w:t>
                  </w:r>
                </w:p>
              </w:tc>
              <w:tc>
                <w:tcPr>
                  <w:tcW w:w="679" w:type="dxa"/>
                  <w:tcBorders>
                    <w:top w:val="nil"/>
                    <w:left w:val="nil"/>
                    <w:bottom w:val="single" w:sz="8" w:space="0" w:color="000000"/>
                    <w:right w:val="single" w:sz="8" w:space="0" w:color="000000"/>
                  </w:tcBorders>
                  <w:shd w:val="clear" w:color="auto" w:fill="auto"/>
                  <w:noWrap/>
                  <w:vAlign w:val="center"/>
                </w:tcPr>
                <w:p w14:paraId="2A39D2A3" w14:textId="1A185E2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800 193</w:t>
                  </w:r>
                </w:p>
              </w:tc>
              <w:tc>
                <w:tcPr>
                  <w:tcW w:w="719" w:type="dxa"/>
                  <w:tcBorders>
                    <w:top w:val="nil"/>
                    <w:left w:val="nil"/>
                    <w:bottom w:val="single" w:sz="8" w:space="0" w:color="000000"/>
                    <w:right w:val="single" w:sz="8" w:space="0" w:color="000000"/>
                  </w:tcBorders>
                  <w:shd w:val="clear" w:color="auto" w:fill="auto"/>
                  <w:noWrap/>
                  <w:vAlign w:val="center"/>
                </w:tcPr>
                <w:p w14:paraId="075285D2" w14:textId="33E11899"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820 198</w:t>
                  </w:r>
                </w:p>
              </w:tc>
              <w:tc>
                <w:tcPr>
                  <w:tcW w:w="802" w:type="dxa"/>
                  <w:tcBorders>
                    <w:top w:val="nil"/>
                    <w:left w:val="nil"/>
                    <w:bottom w:val="single" w:sz="8" w:space="0" w:color="000000"/>
                    <w:right w:val="single" w:sz="8" w:space="0" w:color="000000"/>
                  </w:tcBorders>
                  <w:shd w:val="clear" w:color="auto" w:fill="auto"/>
                  <w:noWrap/>
                  <w:vAlign w:val="center"/>
                </w:tcPr>
                <w:p w14:paraId="03E46B29" w14:textId="5D7966EB"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840 703</w:t>
                  </w:r>
                </w:p>
              </w:tc>
              <w:tc>
                <w:tcPr>
                  <w:tcW w:w="803" w:type="dxa"/>
                  <w:tcBorders>
                    <w:top w:val="nil"/>
                    <w:left w:val="nil"/>
                    <w:bottom w:val="single" w:sz="8" w:space="0" w:color="000000"/>
                    <w:right w:val="single" w:sz="8" w:space="0" w:color="000000"/>
                  </w:tcBorders>
                  <w:shd w:val="clear" w:color="auto" w:fill="auto"/>
                  <w:noWrap/>
                  <w:vAlign w:val="center"/>
                </w:tcPr>
                <w:p w14:paraId="6CEFBB44" w14:textId="156E2E33"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861 720</w:t>
                  </w:r>
                </w:p>
              </w:tc>
              <w:tc>
                <w:tcPr>
                  <w:tcW w:w="802" w:type="dxa"/>
                  <w:tcBorders>
                    <w:top w:val="nil"/>
                    <w:left w:val="nil"/>
                    <w:bottom w:val="single" w:sz="8" w:space="0" w:color="000000"/>
                    <w:right w:val="single" w:sz="8" w:space="0" w:color="000000"/>
                  </w:tcBorders>
                  <w:shd w:val="clear" w:color="auto" w:fill="auto"/>
                  <w:noWrap/>
                  <w:vAlign w:val="center"/>
                </w:tcPr>
                <w:p w14:paraId="43F00275" w14:textId="3EEF126D"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883 263</w:t>
                  </w:r>
                </w:p>
              </w:tc>
              <w:tc>
                <w:tcPr>
                  <w:tcW w:w="669" w:type="dxa"/>
                  <w:tcBorders>
                    <w:top w:val="nil"/>
                    <w:left w:val="nil"/>
                    <w:bottom w:val="single" w:sz="8" w:space="0" w:color="000000"/>
                    <w:right w:val="single" w:sz="8" w:space="0" w:color="000000"/>
                  </w:tcBorders>
                  <w:shd w:val="clear" w:color="auto" w:fill="auto"/>
                  <w:noWrap/>
                  <w:vAlign w:val="center"/>
                </w:tcPr>
                <w:p w14:paraId="699B2BED" w14:textId="74A2A667"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905 345</w:t>
                  </w:r>
                </w:p>
              </w:tc>
              <w:tc>
                <w:tcPr>
                  <w:tcW w:w="669" w:type="dxa"/>
                  <w:tcBorders>
                    <w:top w:val="nil"/>
                    <w:left w:val="nil"/>
                    <w:bottom w:val="single" w:sz="8" w:space="0" w:color="000000"/>
                    <w:right w:val="single" w:sz="8" w:space="0" w:color="000000"/>
                  </w:tcBorders>
                  <w:shd w:val="clear" w:color="auto" w:fill="auto"/>
                  <w:noWrap/>
                  <w:vAlign w:val="center"/>
                </w:tcPr>
                <w:p w14:paraId="00F112BF" w14:textId="1ED6B036"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927 978</w:t>
                  </w:r>
                </w:p>
              </w:tc>
              <w:tc>
                <w:tcPr>
                  <w:tcW w:w="668" w:type="dxa"/>
                  <w:tcBorders>
                    <w:top w:val="nil"/>
                    <w:left w:val="nil"/>
                    <w:bottom w:val="single" w:sz="8" w:space="0" w:color="000000"/>
                    <w:right w:val="single" w:sz="8" w:space="0" w:color="000000"/>
                  </w:tcBorders>
                  <w:shd w:val="clear" w:color="auto" w:fill="auto"/>
                  <w:noWrap/>
                  <w:vAlign w:val="center"/>
                </w:tcPr>
                <w:p w14:paraId="3B68CF3A" w14:textId="2D32C596" w:rsidR="004A2ADB" w:rsidRPr="00A15283" w:rsidRDefault="004A2ADB" w:rsidP="008E0EF6">
                  <w:pPr>
                    <w:spacing w:line="240" w:lineRule="auto"/>
                    <w:ind w:left="-120"/>
                    <w:jc w:val="right"/>
                    <w:rPr>
                      <w:rFonts w:ascii="Times New Roman" w:eastAsia="Times New Roman" w:hAnsi="Times New Roman"/>
                      <w:color w:val="000000"/>
                      <w:sz w:val="18"/>
                      <w:szCs w:val="18"/>
                      <w:lang w:eastAsia="pl-PL"/>
                    </w:rPr>
                  </w:pPr>
                  <w:r w:rsidRPr="00A15283">
                    <w:rPr>
                      <w:rFonts w:ascii="Times New Roman" w:hAnsi="Times New Roman"/>
                      <w:sz w:val="18"/>
                      <w:szCs w:val="18"/>
                    </w:rPr>
                    <w:t>951 178</w:t>
                  </w:r>
                </w:p>
              </w:tc>
            </w:tr>
            <w:tr w:rsidR="005B738B" w:rsidRPr="00A15283" w14:paraId="75D33A2B"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4C041064" w14:textId="3A2FA90E" w:rsidR="00AE768B" w:rsidRPr="00A15283" w:rsidRDefault="00AE768B" w:rsidP="00613236">
                  <w:pPr>
                    <w:spacing w:line="240" w:lineRule="auto"/>
                    <w:rPr>
                      <w:rFonts w:ascii="Times New Roman" w:eastAsia="Times New Roman" w:hAnsi="Times New Roman"/>
                      <w:color w:val="000000"/>
                      <w:sz w:val="18"/>
                      <w:szCs w:val="18"/>
                      <w:lang w:eastAsia="pl-PL"/>
                    </w:rPr>
                  </w:pPr>
                  <w:r w:rsidRPr="00A15283">
                    <w:rPr>
                      <w:rFonts w:ascii="Times New Roman" w:eastAsia="Times New Roman" w:hAnsi="Times New Roman"/>
                      <w:color w:val="000000"/>
                      <w:sz w:val="18"/>
                      <w:szCs w:val="18"/>
                      <w:lang w:eastAsia="pl-PL"/>
                    </w:rPr>
                    <w:t>Pozycja 3</w:t>
                  </w:r>
                </w:p>
              </w:tc>
              <w:tc>
                <w:tcPr>
                  <w:tcW w:w="731" w:type="dxa"/>
                  <w:tcBorders>
                    <w:top w:val="nil"/>
                    <w:left w:val="nil"/>
                    <w:bottom w:val="single" w:sz="8" w:space="0" w:color="000000"/>
                    <w:right w:val="single" w:sz="8" w:space="0" w:color="000000"/>
                  </w:tcBorders>
                  <w:shd w:val="clear" w:color="auto" w:fill="auto"/>
                  <w:noWrap/>
                  <w:vAlign w:val="center"/>
                </w:tcPr>
                <w:p w14:paraId="52F5A27F" w14:textId="51835417" w:rsidR="00AE768B" w:rsidRPr="00A15283" w:rsidRDefault="00AE768B"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1 000 000</w:t>
                  </w:r>
                </w:p>
              </w:tc>
              <w:tc>
                <w:tcPr>
                  <w:tcW w:w="679" w:type="dxa"/>
                  <w:tcBorders>
                    <w:top w:val="nil"/>
                    <w:left w:val="nil"/>
                    <w:bottom w:val="single" w:sz="8" w:space="0" w:color="000000"/>
                    <w:right w:val="single" w:sz="8" w:space="0" w:color="000000"/>
                  </w:tcBorders>
                  <w:shd w:val="clear" w:color="auto" w:fill="auto"/>
                  <w:noWrap/>
                  <w:vAlign w:val="center"/>
                </w:tcPr>
                <w:p w14:paraId="3467B7A2" w14:textId="4AD925FD"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09FC7EFF" w14:textId="07933354"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719" w:type="dxa"/>
                  <w:tcBorders>
                    <w:top w:val="nil"/>
                    <w:left w:val="nil"/>
                    <w:bottom w:val="single" w:sz="8" w:space="0" w:color="000000"/>
                    <w:right w:val="single" w:sz="8" w:space="0" w:color="000000"/>
                  </w:tcBorders>
                  <w:shd w:val="clear" w:color="auto" w:fill="auto"/>
                  <w:noWrap/>
                  <w:vAlign w:val="center"/>
                </w:tcPr>
                <w:p w14:paraId="36A0B881" w14:textId="3524DDE1"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4ED30BB9" w14:textId="6260DBB3"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3" w:type="dxa"/>
                  <w:tcBorders>
                    <w:top w:val="nil"/>
                    <w:left w:val="nil"/>
                    <w:bottom w:val="single" w:sz="8" w:space="0" w:color="000000"/>
                    <w:right w:val="single" w:sz="8" w:space="0" w:color="000000"/>
                  </w:tcBorders>
                  <w:shd w:val="clear" w:color="auto" w:fill="auto"/>
                  <w:noWrap/>
                  <w:vAlign w:val="center"/>
                </w:tcPr>
                <w:p w14:paraId="11759067" w14:textId="38D94F80"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66316AE0" w14:textId="03CBA371"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10DDFAB4" w14:textId="3649D388"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2EE79160" w14:textId="4944EC10"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c>
                <w:tcPr>
                  <w:tcW w:w="668" w:type="dxa"/>
                  <w:tcBorders>
                    <w:top w:val="nil"/>
                    <w:left w:val="nil"/>
                    <w:bottom w:val="single" w:sz="8" w:space="0" w:color="000000"/>
                    <w:right w:val="single" w:sz="8" w:space="0" w:color="000000"/>
                  </w:tcBorders>
                  <w:shd w:val="clear" w:color="auto" w:fill="auto"/>
                  <w:noWrap/>
                  <w:vAlign w:val="center"/>
                </w:tcPr>
                <w:p w14:paraId="04C0DC61" w14:textId="7420EB9D" w:rsidR="00AE768B" w:rsidRPr="00A15283" w:rsidRDefault="0094395F" w:rsidP="008E0EF6">
                  <w:pPr>
                    <w:spacing w:line="240" w:lineRule="auto"/>
                    <w:ind w:left="-120"/>
                    <w:jc w:val="right"/>
                    <w:rPr>
                      <w:rFonts w:ascii="Times New Roman" w:hAnsi="Times New Roman"/>
                      <w:color w:val="000000"/>
                      <w:sz w:val="18"/>
                      <w:szCs w:val="18"/>
                    </w:rPr>
                  </w:pPr>
                  <w:r w:rsidRPr="00A15283">
                    <w:rPr>
                      <w:rFonts w:ascii="Times New Roman" w:hAnsi="Times New Roman"/>
                      <w:color w:val="000000"/>
                      <w:sz w:val="18"/>
                      <w:szCs w:val="18"/>
                    </w:rPr>
                    <w:t>0</w:t>
                  </w:r>
                </w:p>
              </w:tc>
            </w:tr>
            <w:tr w:rsidR="005B738B" w:rsidRPr="00A15283" w14:paraId="2A489773" w14:textId="77777777" w:rsidTr="005B738B">
              <w:trPr>
                <w:trHeight w:val="351"/>
              </w:trPr>
              <w:tc>
                <w:tcPr>
                  <w:tcW w:w="873" w:type="dxa"/>
                  <w:tcBorders>
                    <w:top w:val="nil"/>
                    <w:left w:val="single" w:sz="8" w:space="0" w:color="auto"/>
                    <w:bottom w:val="single" w:sz="4" w:space="0" w:color="auto"/>
                    <w:right w:val="single" w:sz="8" w:space="0" w:color="auto"/>
                  </w:tcBorders>
                  <w:shd w:val="clear" w:color="auto" w:fill="auto"/>
                  <w:noWrap/>
                  <w:vAlign w:val="center"/>
                </w:tcPr>
                <w:p w14:paraId="4B6FB42B" w14:textId="261AC65A" w:rsidR="004C6342" w:rsidRPr="00A15283" w:rsidRDefault="004C6342" w:rsidP="004C6342">
                  <w:pPr>
                    <w:spacing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Pozycja 4</w:t>
                  </w:r>
                </w:p>
              </w:tc>
              <w:tc>
                <w:tcPr>
                  <w:tcW w:w="731" w:type="dxa"/>
                  <w:tcBorders>
                    <w:top w:val="nil"/>
                    <w:left w:val="nil"/>
                    <w:bottom w:val="single" w:sz="8" w:space="0" w:color="000000"/>
                    <w:right w:val="single" w:sz="8" w:space="0" w:color="000000"/>
                  </w:tcBorders>
                  <w:shd w:val="clear" w:color="auto" w:fill="auto"/>
                  <w:noWrap/>
                  <w:vAlign w:val="center"/>
                </w:tcPr>
                <w:p w14:paraId="175FAE44" w14:textId="084F204A"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4CAD159C" w14:textId="5E965C92" w:rsidR="004C6342" w:rsidRPr="00CE0FDF" w:rsidRDefault="004C6342" w:rsidP="004C6342">
                  <w:pPr>
                    <w:spacing w:line="240" w:lineRule="auto"/>
                    <w:ind w:left="-120"/>
                    <w:jc w:val="right"/>
                    <w:rPr>
                      <w:rFonts w:ascii="Times New Roman" w:hAnsi="Times New Roman"/>
                      <w:color w:val="000000"/>
                      <w:sz w:val="18"/>
                      <w:szCs w:val="18"/>
                    </w:rPr>
                  </w:pPr>
                  <w:r w:rsidRPr="00CE0FDF">
                    <w:rPr>
                      <w:rFonts w:ascii="Times New Roman" w:hAnsi="Times New Roman"/>
                      <w:color w:val="000000"/>
                      <w:sz w:val="18"/>
                      <w:szCs w:val="18"/>
                    </w:rPr>
                    <w:t>0</w:t>
                  </w:r>
                </w:p>
              </w:tc>
              <w:tc>
                <w:tcPr>
                  <w:tcW w:w="679" w:type="dxa"/>
                  <w:tcBorders>
                    <w:top w:val="nil"/>
                    <w:left w:val="nil"/>
                    <w:bottom w:val="single" w:sz="8" w:space="0" w:color="000000"/>
                    <w:right w:val="single" w:sz="8" w:space="0" w:color="000000"/>
                  </w:tcBorders>
                  <w:shd w:val="clear" w:color="auto" w:fill="auto"/>
                  <w:noWrap/>
                  <w:vAlign w:val="center"/>
                </w:tcPr>
                <w:p w14:paraId="2722D046" w14:textId="496A34E4"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719" w:type="dxa"/>
                  <w:tcBorders>
                    <w:top w:val="nil"/>
                    <w:left w:val="nil"/>
                    <w:bottom w:val="single" w:sz="8" w:space="0" w:color="000000"/>
                    <w:right w:val="single" w:sz="8" w:space="0" w:color="000000"/>
                  </w:tcBorders>
                  <w:shd w:val="clear" w:color="auto" w:fill="auto"/>
                  <w:noWrap/>
                  <w:vAlign w:val="center"/>
                </w:tcPr>
                <w:p w14:paraId="7D9CD5A8" w14:textId="0A7BDF3B"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802" w:type="dxa"/>
                  <w:tcBorders>
                    <w:top w:val="nil"/>
                    <w:left w:val="nil"/>
                    <w:bottom w:val="single" w:sz="8" w:space="0" w:color="000000"/>
                    <w:right w:val="single" w:sz="8" w:space="0" w:color="000000"/>
                  </w:tcBorders>
                  <w:shd w:val="clear" w:color="auto" w:fill="auto"/>
                  <w:noWrap/>
                  <w:vAlign w:val="center"/>
                </w:tcPr>
                <w:p w14:paraId="04BD9222" w14:textId="09828998" w:rsidR="004C6342" w:rsidRPr="004C6342" w:rsidRDefault="004C6342" w:rsidP="004C6342">
                  <w:pPr>
                    <w:spacing w:line="240" w:lineRule="auto"/>
                    <w:ind w:left="-120"/>
                    <w:jc w:val="right"/>
                    <w:rPr>
                      <w:rFonts w:ascii="Times New Roman" w:hAnsi="Times New Roman"/>
                      <w:color w:val="000000"/>
                      <w:sz w:val="18"/>
                      <w:szCs w:val="18"/>
                    </w:rPr>
                  </w:pPr>
                  <w:r w:rsidRPr="00870F69">
                    <w:rPr>
                      <w:rFonts w:ascii="Times New Roman" w:hAnsi="Times New Roman"/>
                      <w:color w:val="000000"/>
                      <w:sz w:val="18"/>
                      <w:szCs w:val="18"/>
                    </w:rPr>
                    <w:t>1 026 </w:t>
                  </w:r>
                  <w:r w:rsidR="005B738B">
                    <w:rPr>
                      <w:rFonts w:ascii="Times New Roman" w:hAnsi="Times New Roman"/>
                      <w:color w:val="000000"/>
                      <w:sz w:val="18"/>
                      <w:szCs w:val="18"/>
                    </w:rPr>
                    <w:br/>
                  </w:r>
                  <w:r w:rsidRPr="00870F69">
                    <w:rPr>
                      <w:rFonts w:ascii="Times New Roman" w:hAnsi="Times New Roman"/>
                      <w:color w:val="000000"/>
                      <w:sz w:val="18"/>
                      <w:szCs w:val="18"/>
                    </w:rPr>
                    <w:t>434</w:t>
                  </w:r>
                </w:p>
              </w:tc>
              <w:tc>
                <w:tcPr>
                  <w:tcW w:w="803" w:type="dxa"/>
                  <w:tcBorders>
                    <w:top w:val="nil"/>
                    <w:left w:val="nil"/>
                    <w:bottom w:val="single" w:sz="8" w:space="0" w:color="000000"/>
                    <w:right w:val="single" w:sz="8" w:space="0" w:color="000000"/>
                  </w:tcBorders>
                  <w:shd w:val="clear" w:color="auto" w:fill="auto"/>
                  <w:noWrap/>
                  <w:vAlign w:val="center"/>
                </w:tcPr>
                <w:p w14:paraId="779BDED1" w14:textId="7437878B" w:rsidR="004C6342" w:rsidRPr="004C6342" w:rsidRDefault="004C6342" w:rsidP="004C6342">
                  <w:pPr>
                    <w:spacing w:line="240" w:lineRule="auto"/>
                    <w:ind w:left="-120"/>
                    <w:jc w:val="right"/>
                    <w:rPr>
                      <w:rFonts w:ascii="Times New Roman" w:hAnsi="Times New Roman"/>
                      <w:color w:val="000000"/>
                      <w:sz w:val="18"/>
                      <w:szCs w:val="18"/>
                    </w:rPr>
                  </w:pPr>
                  <w:r w:rsidRPr="00870F69">
                    <w:rPr>
                      <w:rFonts w:ascii="Times New Roman" w:hAnsi="Times New Roman"/>
                      <w:color w:val="000000"/>
                      <w:sz w:val="18"/>
                      <w:szCs w:val="18"/>
                    </w:rPr>
                    <w:t>1 026 </w:t>
                  </w:r>
                  <w:r w:rsidR="005B738B">
                    <w:rPr>
                      <w:rFonts w:ascii="Times New Roman" w:hAnsi="Times New Roman"/>
                      <w:color w:val="000000"/>
                      <w:sz w:val="18"/>
                      <w:szCs w:val="18"/>
                    </w:rPr>
                    <w:br/>
                  </w:r>
                  <w:r w:rsidRPr="00870F69">
                    <w:rPr>
                      <w:rFonts w:ascii="Times New Roman" w:hAnsi="Times New Roman"/>
                      <w:color w:val="000000"/>
                      <w:sz w:val="18"/>
                      <w:szCs w:val="18"/>
                    </w:rPr>
                    <w:t>434</w:t>
                  </w:r>
                </w:p>
              </w:tc>
              <w:tc>
                <w:tcPr>
                  <w:tcW w:w="802" w:type="dxa"/>
                  <w:tcBorders>
                    <w:top w:val="nil"/>
                    <w:left w:val="nil"/>
                    <w:bottom w:val="single" w:sz="8" w:space="0" w:color="000000"/>
                    <w:right w:val="single" w:sz="8" w:space="0" w:color="000000"/>
                  </w:tcBorders>
                  <w:shd w:val="clear" w:color="auto" w:fill="auto"/>
                  <w:noWrap/>
                  <w:vAlign w:val="center"/>
                </w:tcPr>
                <w:p w14:paraId="31BFE82B" w14:textId="65914D83" w:rsidR="004C6342" w:rsidRPr="00CE0FDF" w:rsidRDefault="004C6342" w:rsidP="004C6342">
                  <w:pPr>
                    <w:spacing w:line="240" w:lineRule="auto"/>
                    <w:ind w:left="-120"/>
                    <w:jc w:val="right"/>
                    <w:rPr>
                      <w:rFonts w:ascii="Times New Roman" w:hAnsi="Times New Roman"/>
                      <w:color w:val="000000"/>
                      <w:sz w:val="18"/>
                      <w:szCs w:val="18"/>
                    </w:rPr>
                  </w:pPr>
                  <w:r w:rsidRPr="00CE0FDF">
                    <w:rPr>
                      <w:rFonts w:ascii="Times New Roman" w:hAnsi="Times New Roman"/>
                      <w:color w:val="000000"/>
                      <w:sz w:val="18"/>
                      <w:szCs w:val="18"/>
                    </w:rPr>
                    <w:t>973 442</w:t>
                  </w:r>
                </w:p>
              </w:tc>
              <w:tc>
                <w:tcPr>
                  <w:tcW w:w="669" w:type="dxa"/>
                  <w:tcBorders>
                    <w:top w:val="nil"/>
                    <w:left w:val="nil"/>
                    <w:bottom w:val="single" w:sz="8" w:space="0" w:color="000000"/>
                    <w:right w:val="single" w:sz="8" w:space="0" w:color="000000"/>
                  </w:tcBorders>
                  <w:shd w:val="clear" w:color="auto" w:fill="auto"/>
                  <w:noWrap/>
                  <w:vAlign w:val="center"/>
                </w:tcPr>
                <w:p w14:paraId="2A3A975C" w14:textId="4D2F8A16"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69" w:type="dxa"/>
                  <w:tcBorders>
                    <w:top w:val="nil"/>
                    <w:left w:val="nil"/>
                    <w:bottom w:val="single" w:sz="8" w:space="0" w:color="000000"/>
                    <w:right w:val="single" w:sz="8" w:space="0" w:color="000000"/>
                  </w:tcBorders>
                  <w:shd w:val="clear" w:color="auto" w:fill="auto"/>
                  <w:noWrap/>
                  <w:vAlign w:val="center"/>
                </w:tcPr>
                <w:p w14:paraId="24CD60D1" w14:textId="33D15BEA"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c>
                <w:tcPr>
                  <w:tcW w:w="668" w:type="dxa"/>
                  <w:tcBorders>
                    <w:top w:val="nil"/>
                    <w:left w:val="nil"/>
                    <w:bottom w:val="single" w:sz="8" w:space="0" w:color="000000"/>
                    <w:right w:val="single" w:sz="8" w:space="0" w:color="000000"/>
                  </w:tcBorders>
                  <w:shd w:val="clear" w:color="auto" w:fill="auto"/>
                  <w:noWrap/>
                  <w:vAlign w:val="center"/>
                </w:tcPr>
                <w:p w14:paraId="7607F4D5" w14:textId="01BFE565" w:rsidR="004C6342" w:rsidRPr="004C6342" w:rsidRDefault="004C6342" w:rsidP="004C6342">
                  <w:pPr>
                    <w:spacing w:line="240" w:lineRule="auto"/>
                    <w:ind w:left="-120"/>
                    <w:jc w:val="right"/>
                    <w:rPr>
                      <w:rFonts w:ascii="Times New Roman" w:hAnsi="Times New Roman"/>
                      <w:color w:val="000000"/>
                      <w:sz w:val="18"/>
                      <w:szCs w:val="18"/>
                    </w:rPr>
                  </w:pPr>
                  <w:r w:rsidRPr="004C6342">
                    <w:rPr>
                      <w:rFonts w:ascii="Times New Roman" w:hAnsi="Times New Roman"/>
                      <w:color w:val="000000"/>
                      <w:sz w:val="18"/>
                      <w:szCs w:val="18"/>
                    </w:rPr>
                    <w:t>0</w:t>
                  </w:r>
                </w:p>
              </w:tc>
            </w:tr>
            <w:tr w:rsidR="005B738B" w:rsidRPr="00A15283" w14:paraId="5E6795D8" w14:textId="77777777" w:rsidTr="005B738B">
              <w:trPr>
                <w:trHeight w:val="351"/>
              </w:trPr>
              <w:tc>
                <w:tcPr>
                  <w:tcW w:w="87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5127970" w14:textId="77777777" w:rsidR="004C6342" w:rsidRPr="00A15283" w:rsidRDefault="004C6342" w:rsidP="004C6342">
                  <w:pPr>
                    <w:spacing w:line="240" w:lineRule="auto"/>
                    <w:rPr>
                      <w:rFonts w:ascii="Times New Roman" w:eastAsia="Times New Roman" w:hAnsi="Times New Roman"/>
                      <w:b/>
                      <w:color w:val="000000"/>
                      <w:sz w:val="18"/>
                      <w:szCs w:val="18"/>
                      <w:lang w:eastAsia="pl-PL"/>
                    </w:rPr>
                  </w:pPr>
                  <w:r w:rsidRPr="00A15283">
                    <w:rPr>
                      <w:rFonts w:ascii="Times New Roman" w:eastAsia="Times New Roman" w:hAnsi="Times New Roman"/>
                      <w:b/>
                      <w:color w:val="000000"/>
                      <w:sz w:val="18"/>
                      <w:szCs w:val="18"/>
                      <w:lang w:eastAsia="pl-PL"/>
                    </w:rPr>
                    <w:t>Suma:</w:t>
                  </w:r>
                </w:p>
              </w:tc>
              <w:tc>
                <w:tcPr>
                  <w:tcW w:w="731" w:type="dxa"/>
                  <w:tcBorders>
                    <w:top w:val="nil"/>
                    <w:left w:val="nil"/>
                    <w:bottom w:val="single" w:sz="8" w:space="0" w:color="000000"/>
                    <w:right w:val="single" w:sz="8" w:space="0" w:color="000000"/>
                  </w:tcBorders>
                  <w:shd w:val="clear" w:color="auto" w:fill="auto"/>
                  <w:noWrap/>
                  <w:vAlign w:val="center"/>
                </w:tcPr>
                <w:p w14:paraId="40C9A96F" w14:textId="2687FCE8"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7" w:name="_Hlk90505724"/>
                  <w:r w:rsidRPr="001E4D81">
                    <w:rPr>
                      <w:rFonts w:ascii="Times New Roman" w:hAnsi="Times New Roman"/>
                      <w:b/>
                      <w:bCs/>
                      <w:sz w:val="18"/>
                      <w:szCs w:val="18"/>
                    </w:rPr>
                    <w:t>1 751 970</w:t>
                  </w:r>
                  <w:bookmarkEnd w:id="7"/>
                </w:p>
              </w:tc>
              <w:tc>
                <w:tcPr>
                  <w:tcW w:w="679" w:type="dxa"/>
                  <w:tcBorders>
                    <w:top w:val="nil"/>
                    <w:left w:val="nil"/>
                    <w:bottom w:val="single" w:sz="8" w:space="0" w:color="000000"/>
                    <w:right w:val="single" w:sz="8" w:space="0" w:color="000000"/>
                  </w:tcBorders>
                  <w:shd w:val="clear" w:color="auto" w:fill="auto"/>
                  <w:noWrap/>
                  <w:vAlign w:val="center"/>
                </w:tcPr>
                <w:p w14:paraId="1375E8CF" w14:textId="2434136A"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8" w:name="_Hlk90505731"/>
                  <w:r w:rsidRPr="00A15283">
                    <w:rPr>
                      <w:rFonts w:ascii="Times New Roman" w:hAnsi="Times New Roman"/>
                      <w:b/>
                      <w:bCs/>
                      <w:sz w:val="18"/>
                      <w:szCs w:val="18"/>
                    </w:rPr>
                    <w:t>780 676</w:t>
                  </w:r>
                  <w:bookmarkEnd w:id="8"/>
                </w:p>
              </w:tc>
              <w:tc>
                <w:tcPr>
                  <w:tcW w:w="679" w:type="dxa"/>
                  <w:tcBorders>
                    <w:top w:val="nil"/>
                    <w:left w:val="nil"/>
                    <w:bottom w:val="single" w:sz="8" w:space="0" w:color="000000"/>
                    <w:right w:val="single" w:sz="8" w:space="0" w:color="000000"/>
                  </w:tcBorders>
                  <w:shd w:val="clear" w:color="auto" w:fill="auto"/>
                  <w:noWrap/>
                  <w:vAlign w:val="center"/>
                </w:tcPr>
                <w:p w14:paraId="2D710CBD" w14:textId="7CD97F74"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9" w:name="_Hlk90505739"/>
                  <w:r w:rsidRPr="00A15283">
                    <w:rPr>
                      <w:rFonts w:ascii="Times New Roman" w:hAnsi="Times New Roman"/>
                      <w:b/>
                      <w:bCs/>
                      <w:sz w:val="18"/>
                      <w:szCs w:val="18"/>
                    </w:rPr>
                    <w:t>800 193</w:t>
                  </w:r>
                  <w:bookmarkEnd w:id="9"/>
                </w:p>
              </w:tc>
              <w:tc>
                <w:tcPr>
                  <w:tcW w:w="719" w:type="dxa"/>
                  <w:tcBorders>
                    <w:top w:val="nil"/>
                    <w:left w:val="nil"/>
                    <w:bottom w:val="single" w:sz="8" w:space="0" w:color="000000"/>
                    <w:right w:val="single" w:sz="8" w:space="0" w:color="000000"/>
                  </w:tcBorders>
                  <w:shd w:val="clear" w:color="auto" w:fill="auto"/>
                  <w:noWrap/>
                  <w:vAlign w:val="center"/>
                </w:tcPr>
                <w:p w14:paraId="650289B2" w14:textId="3EFB7CF4"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0" w:name="_Hlk90505746"/>
                  <w:r w:rsidRPr="00A15283">
                    <w:rPr>
                      <w:rFonts w:ascii="Times New Roman" w:hAnsi="Times New Roman"/>
                      <w:b/>
                      <w:bCs/>
                      <w:sz w:val="18"/>
                      <w:szCs w:val="18"/>
                    </w:rPr>
                    <w:t>820 198</w:t>
                  </w:r>
                  <w:bookmarkEnd w:id="10"/>
                </w:p>
              </w:tc>
              <w:tc>
                <w:tcPr>
                  <w:tcW w:w="802" w:type="dxa"/>
                  <w:tcBorders>
                    <w:top w:val="nil"/>
                    <w:left w:val="nil"/>
                    <w:bottom w:val="single" w:sz="8" w:space="0" w:color="000000"/>
                    <w:right w:val="single" w:sz="8" w:space="0" w:color="000000"/>
                  </w:tcBorders>
                  <w:shd w:val="clear" w:color="auto" w:fill="auto"/>
                  <w:noWrap/>
                  <w:vAlign w:val="center"/>
                </w:tcPr>
                <w:p w14:paraId="2D69661B" w14:textId="342C54C1"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1" w:name="_Hlk90505753"/>
                  <w:r w:rsidRPr="005B03F8">
                    <w:rPr>
                      <w:rFonts w:ascii="Times New Roman" w:hAnsi="Times New Roman"/>
                      <w:b/>
                      <w:bCs/>
                      <w:sz w:val="18"/>
                      <w:szCs w:val="18"/>
                    </w:rPr>
                    <w:t xml:space="preserve">1 867 </w:t>
                  </w:r>
                  <w:r w:rsidR="005B738B">
                    <w:rPr>
                      <w:rFonts w:ascii="Times New Roman" w:hAnsi="Times New Roman"/>
                      <w:b/>
                      <w:bCs/>
                      <w:sz w:val="18"/>
                      <w:szCs w:val="18"/>
                    </w:rPr>
                    <w:br/>
                  </w:r>
                  <w:r w:rsidRPr="005B03F8">
                    <w:rPr>
                      <w:rFonts w:ascii="Times New Roman" w:hAnsi="Times New Roman"/>
                      <w:b/>
                      <w:bCs/>
                      <w:sz w:val="18"/>
                      <w:szCs w:val="18"/>
                    </w:rPr>
                    <w:t>137</w:t>
                  </w:r>
                  <w:bookmarkEnd w:id="11"/>
                </w:p>
              </w:tc>
              <w:tc>
                <w:tcPr>
                  <w:tcW w:w="803" w:type="dxa"/>
                  <w:tcBorders>
                    <w:top w:val="nil"/>
                    <w:left w:val="nil"/>
                    <w:bottom w:val="single" w:sz="8" w:space="0" w:color="000000"/>
                    <w:right w:val="single" w:sz="8" w:space="0" w:color="000000"/>
                  </w:tcBorders>
                  <w:shd w:val="clear" w:color="auto" w:fill="auto"/>
                  <w:noWrap/>
                  <w:vAlign w:val="center"/>
                </w:tcPr>
                <w:p w14:paraId="3F7ED7A0" w14:textId="1FCC9DBD"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2" w:name="_Hlk90505761"/>
                  <w:r w:rsidRPr="005B03F8">
                    <w:rPr>
                      <w:rFonts w:ascii="Times New Roman" w:hAnsi="Times New Roman"/>
                      <w:b/>
                      <w:bCs/>
                      <w:sz w:val="18"/>
                      <w:szCs w:val="18"/>
                    </w:rPr>
                    <w:t xml:space="preserve">1 888 </w:t>
                  </w:r>
                  <w:r w:rsidR="005B738B">
                    <w:rPr>
                      <w:rFonts w:ascii="Times New Roman" w:hAnsi="Times New Roman"/>
                      <w:b/>
                      <w:bCs/>
                      <w:sz w:val="18"/>
                      <w:szCs w:val="18"/>
                    </w:rPr>
                    <w:br/>
                  </w:r>
                  <w:r w:rsidRPr="005B03F8">
                    <w:rPr>
                      <w:rFonts w:ascii="Times New Roman" w:hAnsi="Times New Roman"/>
                      <w:b/>
                      <w:bCs/>
                      <w:sz w:val="18"/>
                      <w:szCs w:val="18"/>
                    </w:rPr>
                    <w:t>154</w:t>
                  </w:r>
                  <w:bookmarkEnd w:id="12"/>
                </w:p>
              </w:tc>
              <w:tc>
                <w:tcPr>
                  <w:tcW w:w="802" w:type="dxa"/>
                  <w:tcBorders>
                    <w:top w:val="nil"/>
                    <w:left w:val="nil"/>
                    <w:bottom w:val="single" w:sz="8" w:space="0" w:color="000000"/>
                    <w:right w:val="single" w:sz="8" w:space="0" w:color="000000"/>
                  </w:tcBorders>
                  <w:shd w:val="clear" w:color="auto" w:fill="auto"/>
                  <w:noWrap/>
                  <w:vAlign w:val="center"/>
                </w:tcPr>
                <w:p w14:paraId="0022E959" w14:textId="03283093"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3" w:name="_Hlk90505768"/>
                  <w:r w:rsidRPr="005B03F8">
                    <w:rPr>
                      <w:rFonts w:ascii="Times New Roman" w:hAnsi="Times New Roman"/>
                      <w:b/>
                      <w:bCs/>
                      <w:sz w:val="18"/>
                      <w:szCs w:val="18"/>
                    </w:rPr>
                    <w:t xml:space="preserve">1 856 </w:t>
                  </w:r>
                  <w:r w:rsidR="005B738B">
                    <w:rPr>
                      <w:rFonts w:ascii="Times New Roman" w:hAnsi="Times New Roman"/>
                      <w:b/>
                      <w:bCs/>
                      <w:sz w:val="18"/>
                      <w:szCs w:val="18"/>
                    </w:rPr>
                    <w:br/>
                  </w:r>
                  <w:r w:rsidRPr="005B03F8">
                    <w:rPr>
                      <w:rFonts w:ascii="Times New Roman" w:hAnsi="Times New Roman"/>
                      <w:b/>
                      <w:bCs/>
                      <w:sz w:val="18"/>
                      <w:szCs w:val="18"/>
                    </w:rPr>
                    <w:t>705</w:t>
                  </w:r>
                  <w:bookmarkEnd w:id="13"/>
                </w:p>
              </w:tc>
              <w:tc>
                <w:tcPr>
                  <w:tcW w:w="669" w:type="dxa"/>
                  <w:tcBorders>
                    <w:top w:val="nil"/>
                    <w:left w:val="nil"/>
                    <w:bottom w:val="single" w:sz="8" w:space="0" w:color="000000"/>
                    <w:right w:val="single" w:sz="8" w:space="0" w:color="000000"/>
                  </w:tcBorders>
                  <w:shd w:val="clear" w:color="auto" w:fill="auto"/>
                  <w:noWrap/>
                  <w:vAlign w:val="center"/>
                </w:tcPr>
                <w:p w14:paraId="565EB51A" w14:textId="7240AA7D"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4" w:name="_Hlk90505777"/>
                  <w:r w:rsidRPr="00A15283">
                    <w:rPr>
                      <w:rFonts w:ascii="Times New Roman" w:hAnsi="Times New Roman"/>
                      <w:b/>
                      <w:bCs/>
                      <w:sz w:val="18"/>
                      <w:szCs w:val="18"/>
                    </w:rPr>
                    <w:t>905 345</w:t>
                  </w:r>
                  <w:bookmarkEnd w:id="14"/>
                </w:p>
              </w:tc>
              <w:tc>
                <w:tcPr>
                  <w:tcW w:w="669" w:type="dxa"/>
                  <w:tcBorders>
                    <w:top w:val="nil"/>
                    <w:left w:val="nil"/>
                    <w:bottom w:val="single" w:sz="8" w:space="0" w:color="000000"/>
                    <w:right w:val="single" w:sz="8" w:space="0" w:color="000000"/>
                  </w:tcBorders>
                  <w:shd w:val="clear" w:color="auto" w:fill="auto"/>
                  <w:noWrap/>
                  <w:vAlign w:val="center"/>
                </w:tcPr>
                <w:p w14:paraId="0A568203" w14:textId="35D97931"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5" w:name="_Hlk90505784"/>
                  <w:r w:rsidRPr="00A15283">
                    <w:rPr>
                      <w:rFonts w:ascii="Times New Roman" w:hAnsi="Times New Roman"/>
                      <w:b/>
                      <w:bCs/>
                      <w:sz w:val="18"/>
                      <w:szCs w:val="18"/>
                    </w:rPr>
                    <w:t>927 978</w:t>
                  </w:r>
                  <w:bookmarkEnd w:id="15"/>
                </w:p>
              </w:tc>
              <w:tc>
                <w:tcPr>
                  <w:tcW w:w="668" w:type="dxa"/>
                  <w:tcBorders>
                    <w:top w:val="nil"/>
                    <w:left w:val="nil"/>
                    <w:bottom w:val="single" w:sz="8" w:space="0" w:color="000000"/>
                    <w:right w:val="single" w:sz="8" w:space="0" w:color="000000"/>
                  </w:tcBorders>
                  <w:shd w:val="clear" w:color="auto" w:fill="auto"/>
                  <w:noWrap/>
                  <w:vAlign w:val="center"/>
                </w:tcPr>
                <w:p w14:paraId="33C66D9B" w14:textId="730B2956" w:rsidR="004C6342" w:rsidRPr="00A15283" w:rsidRDefault="004C6342" w:rsidP="004C6342">
                  <w:pPr>
                    <w:spacing w:line="240" w:lineRule="auto"/>
                    <w:ind w:left="-120"/>
                    <w:jc w:val="right"/>
                    <w:rPr>
                      <w:rFonts w:ascii="Times New Roman" w:eastAsia="Times New Roman" w:hAnsi="Times New Roman"/>
                      <w:b/>
                      <w:bCs/>
                      <w:color w:val="000000"/>
                      <w:sz w:val="18"/>
                      <w:szCs w:val="18"/>
                      <w:lang w:eastAsia="pl-PL"/>
                    </w:rPr>
                  </w:pPr>
                  <w:bookmarkStart w:id="16" w:name="_Hlk90505790"/>
                  <w:r w:rsidRPr="00A15283">
                    <w:rPr>
                      <w:rFonts w:ascii="Times New Roman" w:hAnsi="Times New Roman"/>
                      <w:b/>
                      <w:bCs/>
                      <w:sz w:val="18"/>
                      <w:szCs w:val="18"/>
                    </w:rPr>
                    <w:t>951 178</w:t>
                  </w:r>
                  <w:bookmarkEnd w:id="16"/>
                </w:p>
              </w:tc>
            </w:tr>
          </w:tbl>
          <w:p w14:paraId="75CFC7D0" w14:textId="38C85099" w:rsidR="002D7ACF" w:rsidRDefault="00B20472" w:rsidP="004E22DB">
            <w:pPr>
              <w:spacing w:before="120" w:after="120" w:line="240" w:lineRule="auto"/>
              <w:jc w:val="both"/>
              <w:rPr>
                <w:rFonts w:ascii="Times New Roman" w:hAnsi="Times New Roman"/>
                <w:color w:val="000000"/>
              </w:rPr>
            </w:pPr>
            <w:r>
              <w:rPr>
                <w:rFonts w:ascii="Times New Roman" w:hAnsi="Times New Roman"/>
                <w:color w:val="000000"/>
              </w:rPr>
              <w:t xml:space="preserve">Do wyliczenia kosztów wynikających z uruchomienia nowych etatów w ramach </w:t>
            </w:r>
            <w:proofErr w:type="spellStart"/>
            <w:r>
              <w:rPr>
                <w:rFonts w:ascii="Times New Roman" w:hAnsi="Times New Roman"/>
                <w:color w:val="000000"/>
              </w:rPr>
              <w:t>MKiŚ</w:t>
            </w:r>
            <w:proofErr w:type="spellEnd"/>
            <w:r>
              <w:rPr>
                <w:rFonts w:ascii="Times New Roman" w:hAnsi="Times New Roman"/>
                <w:color w:val="000000"/>
              </w:rPr>
              <w:t xml:space="preserve"> przyjęto dane wykazywane w sprawozdaniu </w:t>
            </w:r>
            <w:r w:rsidRPr="00B20472">
              <w:rPr>
                <w:rFonts w:ascii="Times New Roman" w:hAnsi="Times New Roman"/>
                <w:color w:val="000000"/>
              </w:rPr>
              <w:t>Rb-70</w:t>
            </w:r>
            <w:r w:rsidR="00657001">
              <w:rPr>
                <w:rFonts w:ascii="Times New Roman" w:hAnsi="Times New Roman"/>
                <w:color w:val="000000"/>
              </w:rPr>
              <w:t xml:space="preserve"> za II kw. 2021 r.</w:t>
            </w:r>
            <w:r w:rsidRPr="00B20472">
              <w:rPr>
                <w:rFonts w:ascii="Times New Roman" w:hAnsi="Times New Roman"/>
                <w:color w:val="000000"/>
              </w:rPr>
              <w:t xml:space="preserve"> o zatrudnieniu i wynagrodzeniach</w:t>
            </w:r>
            <w:r>
              <w:rPr>
                <w:rFonts w:ascii="Times New Roman" w:hAnsi="Times New Roman"/>
                <w:color w:val="000000"/>
              </w:rPr>
              <w:t xml:space="preserve">. </w:t>
            </w:r>
            <w:r w:rsidR="00E8668B">
              <w:rPr>
                <w:rFonts w:ascii="Times New Roman" w:hAnsi="Times New Roman"/>
                <w:color w:val="000000"/>
              </w:rPr>
              <w:t xml:space="preserve">Podstawą do wyliczeń </w:t>
            </w:r>
            <w:r w:rsidR="004E22DB">
              <w:rPr>
                <w:rFonts w:ascii="Times New Roman" w:hAnsi="Times New Roman"/>
                <w:color w:val="000000"/>
              </w:rPr>
              <w:t xml:space="preserve">była </w:t>
            </w:r>
            <w:r w:rsidR="00E8668B">
              <w:rPr>
                <w:rFonts w:ascii="Times New Roman" w:hAnsi="Times New Roman"/>
                <w:color w:val="000000"/>
              </w:rPr>
              <w:t xml:space="preserve">zatem kwota </w:t>
            </w:r>
            <w:r w:rsidR="00E8668B" w:rsidRPr="00E8668B">
              <w:rPr>
                <w:rFonts w:ascii="Times New Roman" w:hAnsi="Times New Roman"/>
                <w:color w:val="000000"/>
              </w:rPr>
              <w:t>9 778,93</w:t>
            </w:r>
            <w:r w:rsidR="00E8668B">
              <w:rPr>
                <w:rFonts w:ascii="Times New Roman" w:hAnsi="Times New Roman"/>
                <w:color w:val="000000"/>
              </w:rPr>
              <w:t xml:space="preserve"> zł brutto średnio na etat bez względu na zaszeregowanie czy funkcję. </w:t>
            </w:r>
            <w:r w:rsidR="004E22DB" w:rsidRPr="004E22DB">
              <w:rPr>
                <w:rFonts w:ascii="Times New Roman" w:hAnsi="Times New Roman"/>
                <w:color w:val="000000"/>
              </w:rPr>
              <w:t xml:space="preserve">Do </w:t>
            </w:r>
            <w:r w:rsidR="004E22DB">
              <w:rPr>
                <w:rFonts w:ascii="Times New Roman" w:hAnsi="Times New Roman"/>
                <w:color w:val="000000"/>
              </w:rPr>
              <w:t xml:space="preserve">kosztów wynagrodzenia dodano </w:t>
            </w:r>
            <w:r w:rsidR="004E22DB" w:rsidRPr="004E22DB">
              <w:rPr>
                <w:rFonts w:ascii="Times New Roman" w:hAnsi="Times New Roman"/>
                <w:color w:val="000000"/>
              </w:rPr>
              <w:t>także pochodne od wynagrodzeń, a od 2024 roku także dodatkowe wynagrodzenie roczne</w:t>
            </w:r>
            <w:r w:rsidR="004E22DB">
              <w:rPr>
                <w:rFonts w:ascii="Times New Roman" w:hAnsi="Times New Roman"/>
                <w:color w:val="000000"/>
              </w:rPr>
              <w:t xml:space="preserve"> </w:t>
            </w:r>
            <w:r w:rsidR="00E8668B">
              <w:rPr>
                <w:rFonts w:ascii="Times New Roman" w:hAnsi="Times New Roman"/>
                <w:color w:val="000000"/>
              </w:rPr>
              <w:t>(DWR) wraz z waloryzacją. W pierwszym roku uwzględniono kwotę 10 tys. zł na koszty związane z wyposażeniem nowoutworzonego stanowiska.</w:t>
            </w:r>
          </w:p>
          <w:p w14:paraId="66FEF850" w14:textId="22E4DDE3" w:rsidR="00CE0FDF" w:rsidRDefault="00CE0FDF" w:rsidP="00CE0FDF">
            <w:pPr>
              <w:tabs>
                <w:tab w:val="left" w:pos="234"/>
              </w:tabs>
              <w:spacing w:after="120" w:line="240" w:lineRule="auto"/>
              <w:jc w:val="both"/>
              <w:rPr>
                <w:rFonts w:ascii="Times New Roman" w:hAnsi="Times New Roman"/>
                <w:color w:val="000000"/>
              </w:rPr>
            </w:pPr>
            <w:r>
              <w:rPr>
                <w:rFonts w:ascii="Times New Roman" w:hAnsi="Times New Roman"/>
                <w:color w:val="000000"/>
              </w:rPr>
              <w:t>Do wyliczenia kosztów związanych z opracowaniem krajowego planu na rzecz energii i klimatu przyjęto:</w:t>
            </w:r>
          </w:p>
          <w:p w14:paraId="5E8910B1" w14:textId="645B0D2A" w:rsidR="00CE0FDF" w:rsidRDefault="00CE0FDF" w:rsidP="00CE0FDF">
            <w:pPr>
              <w:pStyle w:val="Akapitzlist"/>
              <w:numPr>
                <w:ilvl w:val="0"/>
                <w:numId w:val="189"/>
              </w:numPr>
              <w:tabs>
                <w:tab w:val="left" w:pos="234"/>
              </w:tabs>
              <w:spacing w:after="120" w:line="240" w:lineRule="auto"/>
              <w:jc w:val="both"/>
              <w:rPr>
                <w:rFonts w:ascii="Times New Roman" w:hAnsi="Times New Roman"/>
                <w:color w:val="000000"/>
              </w:rPr>
            </w:pPr>
            <w:r>
              <w:rPr>
                <w:rFonts w:ascii="Times New Roman" w:hAnsi="Times New Roman"/>
                <w:color w:val="000000"/>
              </w:rPr>
              <w:t>bazową wartość zlecenia zrealizowanego w latach 2017-2019 dotyczącego analiz i prognoz na potrzeby pierwszego krajowego planu na rzecz energii i klimatu (</w:t>
            </w:r>
            <w:proofErr w:type="spellStart"/>
            <w:r>
              <w:rPr>
                <w:rFonts w:ascii="Times New Roman" w:hAnsi="Times New Roman"/>
                <w:color w:val="000000"/>
              </w:rPr>
              <w:t>KPEiK</w:t>
            </w:r>
            <w:proofErr w:type="spellEnd"/>
            <w:r>
              <w:rPr>
                <w:rFonts w:ascii="Times New Roman" w:hAnsi="Times New Roman"/>
                <w:color w:val="000000"/>
              </w:rPr>
              <w:t xml:space="preserve"> 2021-2030), która następnie została powiększona uwzględniając współczynnik inflacji;</w:t>
            </w:r>
          </w:p>
          <w:p w14:paraId="4B524B43" w14:textId="087A7312" w:rsidR="00CE0FDF" w:rsidRPr="008E2577" w:rsidRDefault="00CE0FDF" w:rsidP="00CE0FDF">
            <w:pPr>
              <w:pStyle w:val="Akapitzlist"/>
              <w:numPr>
                <w:ilvl w:val="0"/>
                <w:numId w:val="189"/>
              </w:numPr>
              <w:tabs>
                <w:tab w:val="left" w:pos="234"/>
              </w:tabs>
              <w:spacing w:after="120" w:line="240" w:lineRule="auto"/>
              <w:jc w:val="both"/>
              <w:rPr>
                <w:rFonts w:ascii="Times New Roman" w:hAnsi="Times New Roman"/>
                <w:color w:val="000000"/>
              </w:rPr>
            </w:pPr>
            <w:r>
              <w:rPr>
                <w:rFonts w:ascii="Times New Roman" w:hAnsi="Times New Roman"/>
                <w:color w:val="000000"/>
              </w:rPr>
              <w:t xml:space="preserve">bazową szacowaną wartość zlecenia prognozy na potrzeby strategicznej oceny oddziaływania na środowisko dla </w:t>
            </w:r>
            <w:proofErr w:type="spellStart"/>
            <w:r>
              <w:rPr>
                <w:rFonts w:ascii="Times New Roman" w:hAnsi="Times New Roman"/>
                <w:color w:val="000000"/>
              </w:rPr>
              <w:t>KPEiK</w:t>
            </w:r>
            <w:proofErr w:type="spellEnd"/>
            <w:r>
              <w:rPr>
                <w:rFonts w:ascii="Times New Roman" w:hAnsi="Times New Roman"/>
                <w:color w:val="000000"/>
              </w:rPr>
              <w:t xml:space="preserve"> 2021-2030, która następnie została powiększona uwzględniając współczynnik inflacji.</w:t>
            </w:r>
          </w:p>
          <w:p w14:paraId="38912334" w14:textId="33A73699" w:rsidR="00933704" w:rsidRPr="00301C67" w:rsidRDefault="002D7ACF" w:rsidP="00301C67">
            <w:pPr>
              <w:spacing w:before="120" w:line="240" w:lineRule="auto"/>
              <w:jc w:val="both"/>
              <w:rPr>
                <w:rFonts w:ascii="Times New Roman" w:hAnsi="Times New Roman"/>
                <w:color w:val="000000"/>
                <w:u w:val="single"/>
              </w:rPr>
            </w:pPr>
            <w:r w:rsidRPr="00301C67">
              <w:rPr>
                <w:rFonts w:ascii="Times New Roman" w:hAnsi="Times New Roman"/>
                <w:color w:val="000000"/>
                <w:u w:val="single"/>
              </w:rPr>
              <w:t xml:space="preserve">Szczegółowe przedstawienie ww. kosztów (dla </w:t>
            </w:r>
            <w:proofErr w:type="spellStart"/>
            <w:r w:rsidRPr="00301C67">
              <w:rPr>
                <w:rFonts w:ascii="Times New Roman" w:hAnsi="Times New Roman"/>
                <w:color w:val="000000"/>
                <w:u w:val="single"/>
              </w:rPr>
              <w:t>MKiŚ</w:t>
            </w:r>
            <w:proofErr w:type="spellEnd"/>
            <w:r w:rsidRPr="00301C67">
              <w:rPr>
                <w:rFonts w:ascii="Times New Roman" w:hAnsi="Times New Roman"/>
                <w:color w:val="000000"/>
                <w:u w:val="single"/>
              </w:rPr>
              <w:t>):</w:t>
            </w:r>
          </w:p>
          <w:p w14:paraId="5686886E" w14:textId="7458A913" w:rsidR="002D7ACF" w:rsidRPr="002D7ACF" w:rsidRDefault="002D7ACF" w:rsidP="00301C67">
            <w:pPr>
              <w:spacing w:line="240" w:lineRule="auto"/>
              <w:jc w:val="both"/>
              <w:rPr>
                <w:rFonts w:ascii="Times New Roman" w:hAnsi="Times New Roman"/>
                <w:color w:val="000000"/>
              </w:rPr>
            </w:pPr>
            <w:r w:rsidRPr="002D7ACF">
              <w:rPr>
                <w:rFonts w:ascii="Times New Roman" w:hAnsi="Times New Roman"/>
                <w:color w:val="000000"/>
              </w:rPr>
              <w:t xml:space="preserve">Kalkulacja wynagrodzeń wraz z pochodnymi dla </w:t>
            </w:r>
            <w:r w:rsidR="002413A7" w:rsidRPr="00212D5C">
              <w:rPr>
                <w:rFonts w:ascii="Times New Roman" w:hAnsi="Times New Roman"/>
                <w:b/>
                <w:bCs/>
                <w:color w:val="000000"/>
              </w:rPr>
              <w:t>jednego (</w:t>
            </w:r>
            <w:r w:rsidRPr="00212D5C">
              <w:rPr>
                <w:rFonts w:ascii="Times New Roman" w:hAnsi="Times New Roman"/>
                <w:b/>
                <w:bCs/>
                <w:color w:val="000000"/>
              </w:rPr>
              <w:t>1</w:t>
            </w:r>
            <w:r w:rsidR="002413A7" w:rsidRPr="00212D5C">
              <w:rPr>
                <w:rFonts w:ascii="Times New Roman" w:hAnsi="Times New Roman"/>
                <w:b/>
                <w:bCs/>
                <w:color w:val="000000"/>
              </w:rPr>
              <w:t>)</w:t>
            </w:r>
            <w:r w:rsidRPr="00212D5C">
              <w:rPr>
                <w:rFonts w:ascii="Times New Roman" w:hAnsi="Times New Roman"/>
                <w:b/>
                <w:bCs/>
                <w:color w:val="000000"/>
              </w:rPr>
              <w:t xml:space="preserve"> etatu</w:t>
            </w:r>
            <w:r w:rsidRPr="002D7ACF">
              <w:rPr>
                <w:rFonts w:ascii="Times New Roman" w:hAnsi="Times New Roman"/>
                <w:color w:val="000000"/>
              </w:rPr>
              <w:t xml:space="preserve"> w korpusie służby cywilnej w skali </w:t>
            </w:r>
            <w:r>
              <w:rPr>
                <w:rFonts w:ascii="Times New Roman" w:hAnsi="Times New Roman"/>
                <w:color w:val="000000"/>
              </w:rPr>
              <w:t xml:space="preserve">pierwszych </w:t>
            </w:r>
            <w:r w:rsidRPr="002D7ACF">
              <w:rPr>
                <w:rFonts w:ascii="Times New Roman" w:hAnsi="Times New Roman"/>
                <w:color w:val="000000"/>
              </w:rPr>
              <w:t>12 m-</w:t>
            </w:r>
            <w:proofErr w:type="spellStart"/>
            <w:r w:rsidRPr="002D7ACF">
              <w:rPr>
                <w:rFonts w:ascii="Times New Roman" w:hAnsi="Times New Roman"/>
                <w:color w:val="000000"/>
              </w:rPr>
              <w:t>cy</w:t>
            </w:r>
            <w:proofErr w:type="spellEnd"/>
            <w:r>
              <w:rPr>
                <w:rFonts w:ascii="Times New Roman" w:hAnsi="Times New Roman"/>
                <w:color w:val="000000"/>
              </w:rPr>
              <w:t xml:space="preserve"> funkcjonowania etatu</w:t>
            </w:r>
            <w:r w:rsidR="008534C0">
              <w:rPr>
                <w:rFonts w:ascii="Times New Roman" w:hAnsi="Times New Roman"/>
                <w:color w:val="000000"/>
              </w:rPr>
              <w:t xml:space="preserve"> w ramach Krajowego Punktu Kontaktowe</w:t>
            </w:r>
            <w:r w:rsidR="00966E53">
              <w:rPr>
                <w:rFonts w:ascii="Times New Roman" w:hAnsi="Times New Roman"/>
                <w:color w:val="000000"/>
              </w:rPr>
              <w:t>go</w:t>
            </w:r>
            <w:r w:rsidR="008534C0">
              <w:rPr>
                <w:rFonts w:ascii="Times New Roman" w:hAnsi="Times New Roman"/>
                <w:color w:val="000000"/>
              </w:rPr>
              <w:t xml:space="preserve"> OZE</w:t>
            </w:r>
            <w:r w:rsidR="00966E53">
              <w:rPr>
                <w:rFonts w:ascii="Times New Roman" w:hAnsi="Times New Roman"/>
                <w:color w:val="000000"/>
              </w:rPr>
              <w:t xml:space="preserve"> utworzonego </w:t>
            </w:r>
            <w:r w:rsidR="004D212A">
              <w:rPr>
                <w:rFonts w:ascii="Times New Roman" w:hAnsi="Times New Roman"/>
                <w:color w:val="000000"/>
              </w:rPr>
              <w:t>w ramach wdrożenia</w:t>
            </w:r>
            <w:r w:rsidR="00966E53">
              <w:rPr>
                <w:rFonts w:ascii="Times New Roman" w:hAnsi="Times New Roman"/>
                <w:color w:val="000000"/>
              </w:rPr>
              <w:t xml:space="preserve"> dyrektywy RED II</w:t>
            </w:r>
            <w:r w:rsidRPr="002D7ACF">
              <w:rPr>
                <w:rFonts w:ascii="Times New Roman" w:hAnsi="Times New Roman"/>
                <w:color w:val="000000"/>
              </w:rPr>
              <w:t xml:space="preserve">: </w:t>
            </w:r>
          </w:p>
          <w:p w14:paraId="022CD51B" w14:textId="3A38AB66" w:rsidR="002D7ACF" w:rsidRPr="00212D5C" w:rsidRDefault="002D7ACF" w:rsidP="00301C67">
            <w:pPr>
              <w:pStyle w:val="Akapitzlist"/>
              <w:numPr>
                <w:ilvl w:val="0"/>
                <w:numId w:val="182"/>
              </w:numPr>
              <w:spacing w:after="120" w:line="240" w:lineRule="auto"/>
              <w:jc w:val="both"/>
              <w:rPr>
                <w:rFonts w:ascii="Times New Roman" w:hAnsi="Times New Roman"/>
                <w:color w:val="000000"/>
              </w:rPr>
            </w:pPr>
            <w:r w:rsidRPr="00212D5C">
              <w:rPr>
                <w:rFonts w:ascii="Times New Roman" w:hAnsi="Times New Roman"/>
                <w:color w:val="000000"/>
              </w:rPr>
              <w:t>wynagrodzenia osobowe dla 1 etatu korpusu służby cywilnej = 9 778,93 zł x 1 etat x 12</w:t>
            </w:r>
            <w:r>
              <w:rPr>
                <w:rFonts w:ascii="Times New Roman" w:hAnsi="Times New Roman"/>
                <w:color w:val="000000"/>
              </w:rPr>
              <w:t> </w:t>
            </w:r>
            <w:r w:rsidRPr="00212D5C">
              <w:rPr>
                <w:rFonts w:ascii="Times New Roman" w:hAnsi="Times New Roman"/>
                <w:color w:val="000000"/>
              </w:rPr>
              <w:t>m-</w:t>
            </w:r>
            <w:proofErr w:type="spellStart"/>
            <w:r w:rsidRPr="00212D5C">
              <w:rPr>
                <w:rFonts w:ascii="Times New Roman" w:hAnsi="Times New Roman"/>
                <w:color w:val="000000"/>
              </w:rPr>
              <w:t>cy</w:t>
            </w:r>
            <w:proofErr w:type="spellEnd"/>
            <w:r w:rsidRPr="00212D5C">
              <w:rPr>
                <w:rFonts w:ascii="Times New Roman" w:hAnsi="Times New Roman"/>
                <w:color w:val="000000"/>
              </w:rPr>
              <w:t xml:space="preserve"> = 117 347 zł brutto;</w:t>
            </w:r>
          </w:p>
          <w:p w14:paraId="0CF82AED" w14:textId="3DA041F3"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składki na ubezpieczenie społeczne finansowane przez pracodawcę (17,19%) = 117 347 zł x 17,19% = 20 172 zł brutto;</w:t>
            </w:r>
          </w:p>
          <w:p w14:paraId="27938FD5" w14:textId="43BAB9A8"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składki na Fundusz Pracy (2,45%) = 117 347 zł x 2,45% = 2 875 zł brutto</w:t>
            </w:r>
            <w:r>
              <w:rPr>
                <w:rFonts w:ascii="Times New Roman" w:hAnsi="Times New Roman"/>
                <w:color w:val="000000"/>
              </w:rPr>
              <w:t>;</w:t>
            </w:r>
          </w:p>
          <w:p w14:paraId="63019EA8" w14:textId="51C894BA" w:rsidR="002D7ACF" w:rsidRPr="00212D5C" w:rsidRDefault="002D7ACF" w:rsidP="00212D5C">
            <w:pPr>
              <w:pStyle w:val="Akapitzlist"/>
              <w:numPr>
                <w:ilvl w:val="0"/>
                <w:numId w:val="182"/>
              </w:numPr>
              <w:spacing w:before="120" w:after="120" w:line="240" w:lineRule="auto"/>
              <w:jc w:val="both"/>
              <w:rPr>
                <w:rFonts w:ascii="Times New Roman" w:hAnsi="Times New Roman"/>
                <w:color w:val="000000"/>
              </w:rPr>
            </w:pPr>
            <w:r w:rsidRPr="00212D5C">
              <w:rPr>
                <w:rFonts w:ascii="Times New Roman" w:hAnsi="Times New Roman"/>
                <w:color w:val="000000"/>
              </w:rPr>
              <w:t>dodatkowe środki na wyposażenie stanowiska pracy (roczne) 10 000 zł na 1 etat</w:t>
            </w:r>
          </w:p>
          <w:p w14:paraId="4DF61160" w14:textId="1082B2F4" w:rsidR="00DE283C" w:rsidRPr="002D7ACF" w:rsidRDefault="00DE283C" w:rsidP="00DE283C">
            <w:pPr>
              <w:spacing w:before="120" w:after="120" w:line="240" w:lineRule="auto"/>
              <w:jc w:val="both"/>
              <w:rPr>
                <w:rFonts w:ascii="Times New Roman" w:hAnsi="Times New Roman"/>
                <w:color w:val="000000"/>
              </w:rPr>
            </w:pPr>
            <w:r>
              <w:rPr>
                <w:rFonts w:ascii="Times New Roman" w:hAnsi="Times New Roman"/>
                <w:color w:val="000000"/>
              </w:rPr>
              <w:t xml:space="preserve">Ogółem </w:t>
            </w:r>
            <w:r w:rsidRPr="002D7ACF">
              <w:rPr>
                <w:rFonts w:ascii="Times New Roman" w:hAnsi="Times New Roman"/>
                <w:color w:val="000000"/>
              </w:rPr>
              <w:t xml:space="preserve">skutki </w:t>
            </w:r>
            <w:r>
              <w:rPr>
                <w:rFonts w:ascii="Times New Roman" w:hAnsi="Times New Roman"/>
                <w:color w:val="000000"/>
              </w:rPr>
              <w:t xml:space="preserve">uruchomienia nowego </w:t>
            </w:r>
            <w:r>
              <w:rPr>
                <w:rFonts w:ascii="Times New Roman" w:hAnsi="Times New Roman"/>
                <w:b/>
                <w:bCs/>
                <w:color w:val="000000"/>
              </w:rPr>
              <w:t>jednego</w:t>
            </w:r>
            <w:r>
              <w:rPr>
                <w:rFonts w:ascii="Times New Roman" w:hAnsi="Times New Roman"/>
                <w:color w:val="000000"/>
              </w:rPr>
              <w:t xml:space="preserve"> </w:t>
            </w:r>
            <w:r w:rsidRPr="0002206D">
              <w:rPr>
                <w:rFonts w:ascii="Times New Roman" w:hAnsi="Times New Roman"/>
                <w:b/>
                <w:bCs/>
                <w:color w:val="000000"/>
              </w:rPr>
              <w:t>(</w:t>
            </w:r>
            <w:r>
              <w:rPr>
                <w:rFonts w:ascii="Times New Roman" w:hAnsi="Times New Roman"/>
                <w:b/>
                <w:bCs/>
                <w:color w:val="000000"/>
              </w:rPr>
              <w:t>1</w:t>
            </w:r>
            <w:r w:rsidRPr="00CA129A">
              <w:rPr>
                <w:rFonts w:ascii="Times New Roman" w:hAnsi="Times New Roman"/>
                <w:b/>
                <w:bCs/>
                <w:color w:val="000000"/>
              </w:rPr>
              <w:t>)</w:t>
            </w:r>
            <w:r w:rsidRPr="0002206D">
              <w:rPr>
                <w:rFonts w:ascii="Times New Roman" w:hAnsi="Times New Roman"/>
                <w:b/>
                <w:bCs/>
                <w:color w:val="000000"/>
              </w:rPr>
              <w:t xml:space="preserve"> etat</w:t>
            </w:r>
            <w:r>
              <w:rPr>
                <w:rFonts w:ascii="Times New Roman" w:hAnsi="Times New Roman"/>
                <w:b/>
                <w:bCs/>
                <w:color w:val="000000"/>
              </w:rPr>
              <w:t>u</w:t>
            </w:r>
            <w:r w:rsidRPr="002D7ACF">
              <w:rPr>
                <w:rFonts w:ascii="Times New Roman" w:hAnsi="Times New Roman"/>
                <w:color w:val="000000"/>
              </w:rPr>
              <w:t xml:space="preserve"> w korpusie służby cywilnej w okresie pierwszych 12 m-</w:t>
            </w:r>
            <w:proofErr w:type="spellStart"/>
            <w:r w:rsidRPr="002D7ACF">
              <w:rPr>
                <w:rFonts w:ascii="Times New Roman" w:hAnsi="Times New Roman"/>
                <w:color w:val="000000"/>
              </w:rPr>
              <w:t>cy</w:t>
            </w:r>
            <w:proofErr w:type="spellEnd"/>
            <w:r w:rsidRPr="002D7ACF">
              <w:rPr>
                <w:rFonts w:ascii="Times New Roman" w:hAnsi="Times New Roman"/>
                <w:color w:val="000000"/>
              </w:rPr>
              <w:t>, tj. wynagrodzenie i pochodne</w:t>
            </w:r>
            <w:r w:rsidR="004C0172">
              <w:rPr>
                <w:rFonts w:ascii="Times New Roman" w:hAnsi="Times New Roman"/>
                <w:color w:val="000000"/>
              </w:rPr>
              <w:t xml:space="preserve"> </w:t>
            </w:r>
            <w:r w:rsidRPr="002D7ACF">
              <w:rPr>
                <w:rFonts w:ascii="Times New Roman" w:hAnsi="Times New Roman"/>
                <w:color w:val="000000"/>
              </w:rPr>
              <w:t>=</w:t>
            </w:r>
            <w:r w:rsidR="004C0172">
              <w:rPr>
                <w:rFonts w:ascii="Times New Roman" w:hAnsi="Times New Roman"/>
                <w:color w:val="000000"/>
              </w:rPr>
              <w:t xml:space="preserve"> </w:t>
            </w:r>
            <w:r w:rsidRPr="002D7ACF">
              <w:rPr>
                <w:rFonts w:ascii="Times New Roman" w:hAnsi="Times New Roman"/>
                <w:color w:val="000000"/>
              </w:rPr>
              <w:t>1</w:t>
            </w:r>
            <w:r>
              <w:rPr>
                <w:rFonts w:ascii="Times New Roman" w:hAnsi="Times New Roman"/>
                <w:color w:val="000000"/>
              </w:rPr>
              <w:t>4</w:t>
            </w:r>
            <w:r w:rsidRPr="002D7ACF">
              <w:rPr>
                <w:rFonts w:ascii="Times New Roman" w:hAnsi="Times New Roman"/>
                <w:color w:val="000000"/>
              </w:rPr>
              <w:t>0</w:t>
            </w:r>
            <w:r>
              <w:rPr>
                <w:rFonts w:ascii="Times New Roman" w:hAnsi="Times New Roman"/>
                <w:color w:val="000000"/>
              </w:rPr>
              <w:t> </w:t>
            </w:r>
            <w:r w:rsidRPr="002D7ACF">
              <w:rPr>
                <w:rFonts w:ascii="Times New Roman" w:hAnsi="Times New Roman"/>
                <w:color w:val="000000"/>
              </w:rPr>
              <w:t>394</w:t>
            </w:r>
            <w:r>
              <w:rPr>
                <w:rFonts w:ascii="Times New Roman" w:hAnsi="Times New Roman"/>
                <w:color w:val="000000"/>
              </w:rPr>
              <w:t xml:space="preserve"> </w:t>
            </w:r>
            <w:r w:rsidRPr="002D7ACF">
              <w:rPr>
                <w:rFonts w:ascii="Times New Roman" w:hAnsi="Times New Roman"/>
                <w:color w:val="000000"/>
              </w:rPr>
              <w:t xml:space="preserve">zł brutto + </w:t>
            </w:r>
            <w:r>
              <w:rPr>
                <w:rFonts w:ascii="Times New Roman" w:hAnsi="Times New Roman"/>
                <w:color w:val="000000"/>
              </w:rPr>
              <w:t xml:space="preserve">10 000 </w:t>
            </w:r>
            <w:r w:rsidRPr="002D7ACF">
              <w:rPr>
                <w:rFonts w:ascii="Times New Roman" w:hAnsi="Times New Roman"/>
                <w:color w:val="000000"/>
              </w:rPr>
              <w:t>zł wyposażenie stanowiska pracy</w:t>
            </w:r>
            <w:r>
              <w:rPr>
                <w:rFonts w:ascii="Times New Roman" w:hAnsi="Times New Roman"/>
                <w:color w:val="000000"/>
              </w:rPr>
              <w:t xml:space="preserve"> = </w:t>
            </w:r>
            <w:r w:rsidRPr="002D7ACF">
              <w:rPr>
                <w:rFonts w:ascii="Times New Roman" w:hAnsi="Times New Roman"/>
                <w:color w:val="000000"/>
              </w:rPr>
              <w:t>1</w:t>
            </w:r>
            <w:r>
              <w:rPr>
                <w:rFonts w:ascii="Times New Roman" w:hAnsi="Times New Roman"/>
                <w:color w:val="000000"/>
              </w:rPr>
              <w:t>5</w:t>
            </w:r>
            <w:r w:rsidRPr="002D7ACF">
              <w:rPr>
                <w:rFonts w:ascii="Times New Roman" w:hAnsi="Times New Roman"/>
                <w:color w:val="000000"/>
              </w:rPr>
              <w:t>0</w:t>
            </w:r>
            <w:r>
              <w:rPr>
                <w:rFonts w:ascii="Times New Roman" w:hAnsi="Times New Roman"/>
                <w:color w:val="000000"/>
              </w:rPr>
              <w:t> </w:t>
            </w:r>
            <w:r w:rsidRPr="002D7ACF">
              <w:rPr>
                <w:rFonts w:ascii="Times New Roman" w:hAnsi="Times New Roman"/>
                <w:color w:val="000000"/>
              </w:rPr>
              <w:t>394</w:t>
            </w:r>
            <w:r>
              <w:rPr>
                <w:rFonts w:ascii="Times New Roman" w:hAnsi="Times New Roman"/>
                <w:color w:val="000000"/>
              </w:rPr>
              <w:t xml:space="preserve"> zł brutto. </w:t>
            </w:r>
          </w:p>
          <w:p w14:paraId="6C0092D3" w14:textId="31DACBEF" w:rsidR="002D7ACF" w:rsidRPr="002D7ACF" w:rsidRDefault="002D7ACF" w:rsidP="00301C67">
            <w:pPr>
              <w:spacing w:before="120" w:line="240" w:lineRule="auto"/>
              <w:jc w:val="both"/>
              <w:rPr>
                <w:rFonts w:ascii="Times New Roman" w:hAnsi="Times New Roman"/>
                <w:color w:val="000000"/>
              </w:rPr>
            </w:pPr>
            <w:r w:rsidRPr="002D7ACF">
              <w:rPr>
                <w:rFonts w:ascii="Times New Roman" w:hAnsi="Times New Roman"/>
                <w:color w:val="000000"/>
              </w:rPr>
              <w:t>Kolejny rok</w:t>
            </w:r>
            <w:r>
              <w:rPr>
                <w:rFonts w:ascii="Times New Roman" w:hAnsi="Times New Roman"/>
                <w:color w:val="000000"/>
              </w:rPr>
              <w:t xml:space="preserve"> i następne lata funkcjonowania etatu</w:t>
            </w:r>
            <w:r w:rsidRPr="002D7ACF">
              <w:rPr>
                <w:rFonts w:ascii="Times New Roman" w:hAnsi="Times New Roman"/>
                <w:color w:val="000000"/>
              </w:rPr>
              <w:t>:</w:t>
            </w:r>
          </w:p>
          <w:p w14:paraId="6D0D95D2" w14:textId="47AC1C58" w:rsidR="002D7ACF" w:rsidRPr="00212D5C" w:rsidRDefault="002D7ACF" w:rsidP="00301C67">
            <w:pPr>
              <w:pStyle w:val="Akapitzlist"/>
              <w:numPr>
                <w:ilvl w:val="0"/>
                <w:numId w:val="183"/>
              </w:numPr>
              <w:spacing w:after="120" w:line="240" w:lineRule="auto"/>
              <w:jc w:val="both"/>
              <w:rPr>
                <w:rFonts w:ascii="Times New Roman" w:hAnsi="Times New Roman"/>
                <w:color w:val="000000"/>
              </w:rPr>
            </w:pPr>
            <w:r w:rsidRPr="00212D5C">
              <w:rPr>
                <w:rFonts w:ascii="Times New Roman" w:hAnsi="Times New Roman"/>
                <w:color w:val="000000"/>
              </w:rPr>
              <w:t xml:space="preserve">wynagrodzenia osobowe dla </w:t>
            </w:r>
            <w:r>
              <w:rPr>
                <w:rFonts w:ascii="Times New Roman" w:hAnsi="Times New Roman"/>
                <w:color w:val="000000"/>
              </w:rPr>
              <w:t>1</w:t>
            </w:r>
            <w:r w:rsidRPr="00212D5C">
              <w:rPr>
                <w:rFonts w:ascii="Times New Roman" w:hAnsi="Times New Roman"/>
                <w:color w:val="000000"/>
              </w:rPr>
              <w:t xml:space="preserve"> etat</w:t>
            </w:r>
            <w:r>
              <w:rPr>
                <w:rFonts w:ascii="Times New Roman" w:hAnsi="Times New Roman"/>
                <w:color w:val="000000"/>
              </w:rPr>
              <w:t>u</w:t>
            </w:r>
            <w:r w:rsidRPr="00212D5C">
              <w:rPr>
                <w:rFonts w:ascii="Times New Roman" w:hAnsi="Times New Roman"/>
                <w:color w:val="000000"/>
              </w:rPr>
              <w:t xml:space="preserve"> korpusu służby cywilnej = 9 778,93 zł x 1 etat x 12</w:t>
            </w:r>
            <w:r>
              <w:rPr>
                <w:rFonts w:ascii="Times New Roman" w:hAnsi="Times New Roman"/>
                <w:color w:val="000000"/>
              </w:rPr>
              <w:t> </w:t>
            </w:r>
            <w:r w:rsidRPr="00212D5C">
              <w:rPr>
                <w:rFonts w:ascii="Times New Roman" w:hAnsi="Times New Roman"/>
                <w:color w:val="000000"/>
              </w:rPr>
              <w:t>m-</w:t>
            </w:r>
            <w:proofErr w:type="spellStart"/>
            <w:r w:rsidRPr="00212D5C">
              <w:rPr>
                <w:rFonts w:ascii="Times New Roman" w:hAnsi="Times New Roman"/>
                <w:color w:val="000000"/>
              </w:rPr>
              <w:t>cy</w:t>
            </w:r>
            <w:proofErr w:type="spellEnd"/>
            <w:r w:rsidRPr="00212D5C">
              <w:rPr>
                <w:rFonts w:ascii="Times New Roman" w:hAnsi="Times New Roman"/>
                <w:color w:val="000000"/>
              </w:rPr>
              <w:t xml:space="preserve"> = 117 347 zł brutto;</w:t>
            </w:r>
          </w:p>
          <w:p w14:paraId="3D398C28" w14:textId="396C9C10"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 xml:space="preserve">dodatkowe wynagrodzenie roczne (8,5% )= 117 347zł x 8,5% = 9 975 zł brutto </w:t>
            </w:r>
          </w:p>
          <w:p w14:paraId="63C29F8A" w14:textId="0117EE6C"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składki na ubezpieczenie społeczne finansowane przez pracodawcę (17,19%) = (117 347 zł+ 9 975 zł) x 17,19% = 21 886 zł brutto;</w:t>
            </w:r>
          </w:p>
          <w:p w14:paraId="3C6F5623" w14:textId="4F69E92A" w:rsidR="002D7ACF" w:rsidRPr="00212D5C" w:rsidRDefault="002D7ACF" w:rsidP="00212D5C">
            <w:pPr>
              <w:pStyle w:val="Akapitzlist"/>
              <w:numPr>
                <w:ilvl w:val="0"/>
                <w:numId w:val="183"/>
              </w:numPr>
              <w:spacing w:before="120" w:after="120" w:line="240" w:lineRule="auto"/>
              <w:jc w:val="both"/>
              <w:rPr>
                <w:rFonts w:ascii="Times New Roman" w:hAnsi="Times New Roman"/>
                <w:color w:val="000000"/>
              </w:rPr>
            </w:pPr>
            <w:r w:rsidRPr="00212D5C">
              <w:rPr>
                <w:rFonts w:ascii="Times New Roman" w:hAnsi="Times New Roman"/>
                <w:color w:val="000000"/>
              </w:rPr>
              <w:t>składki na Fundusz Pracy (2,45%) = (117 347 zł+ 9 975 zł) x 2,45% = 3 119 zł brutto.</w:t>
            </w:r>
          </w:p>
          <w:p w14:paraId="5D390A74" w14:textId="0E22460E" w:rsidR="002D7ACF" w:rsidRPr="002D7ACF" w:rsidRDefault="002D7ACF" w:rsidP="002D7ACF">
            <w:pPr>
              <w:spacing w:before="120" w:after="120" w:line="240" w:lineRule="auto"/>
              <w:jc w:val="both"/>
              <w:rPr>
                <w:rFonts w:ascii="Times New Roman" w:hAnsi="Times New Roman"/>
                <w:color w:val="000000"/>
              </w:rPr>
            </w:pPr>
            <w:r w:rsidRPr="002D7ACF">
              <w:rPr>
                <w:rFonts w:ascii="Times New Roman" w:hAnsi="Times New Roman"/>
                <w:color w:val="000000"/>
              </w:rPr>
              <w:t xml:space="preserve">Skutki </w:t>
            </w:r>
            <w:r>
              <w:rPr>
                <w:rFonts w:ascii="Times New Roman" w:hAnsi="Times New Roman"/>
                <w:color w:val="000000"/>
              </w:rPr>
              <w:t>uruchomienia</w:t>
            </w:r>
            <w:r w:rsidRPr="002D7ACF">
              <w:rPr>
                <w:rFonts w:ascii="Times New Roman" w:hAnsi="Times New Roman"/>
                <w:color w:val="000000"/>
              </w:rPr>
              <w:t xml:space="preserve"> now</w:t>
            </w:r>
            <w:r w:rsidR="00DE283C">
              <w:rPr>
                <w:rFonts w:ascii="Times New Roman" w:hAnsi="Times New Roman"/>
                <w:color w:val="000000"/>
              </w:rPr>
              <w:t>ego</w:t>
            </w:r>
            <w:r>
              <w:rPr>
                <w:rFonts w:ascii="Times New Roman" w:hAnsi="Times New Roman"/>
                <w:color w:val="000000"/>
              </w:rPr>
              <w:t xml:space="preserve"> </w:t>
            </w:r>
            <w:r w:rsidR="00DE283C">
              <w:rPr>
                <w:rFonts w:ascii="Times New Roman" w:hAnsi="Times New Roman"/>
                <w:b/>
                <w:bCs/>
                <w:color w:val="000000"/>
              </w:rPr>
              <w:t xml:space="preserve">jednego </w:t>
            </w:r>
            <w:r w:rsidR="00CA129A" w:rsidRPr="00212D5C">
              <w:rPr>
                <w:rFonts w:ascii="Times New Roman" w:hAnsi="Times New Roman"/>
                <w:b/>
                <w:bCs/>
                <w:color w:val="000000"/>
              </w:rPr>
              <w:t>(</w:t>
            </w:r>
            <w:r w:rsidR="00DE283C">
              <w:rPr>
                <w:rFonts w:ascii="Times New Roman" w:hAnsi="Times New Roman"/>
                <w:b/>
                <w:bCs/>
                <w:color w:val="000000"/>
              </w:rPr>
              <w:t>1</w:t>
            </w:r>
            <w:r w:rsidR="00CA129A" w:rsidRPr="00212D5C">
              <w:rPr>
                <w:rFonts w:ascii="Times New Roman" w:hAnsi="Times New Roman"/>
                <w:b/>
                <w:bCs/>
                <w:color w:val="000000"/>
              </w:rPr>
              <w:t>)</w:t>
            </w:r>
            <w:r w:rsidRPr="00212D5C">
              <w:rPr>
                <w:rFonts w:ascii="Times New Roman" w:hAnsi="Times New Roman"/>
                <w:b/>
                <w:bCs/>
                <w:color w:val="000000"/>
              </w:rPr>
              <w:t xml:space="preserve"> etat</w:t>
            </w:r>
            <w:r w:rsidR="00DE283C">
              <w:rPr>
                <w:rFonts w:ascii="Times New Roman" w:hAnsi="Times New Roman"/>
                <w:b/>
                <w:bCs/>
                <w:color w:val="000000"/>
              </w:rPr>
              <w:t>u</w:t>
            </w:r>
            <w:r w:rsidRPr="002D7ACF">
              <w:rPr>
                <w:rFonts w:ascii="Times New Roman" w:hAnsi="Times New Roman"/>
                <w:color w:val="000000"/>
              </w:rPr>
              <w:t xml:space="preserve"> w korpusie służby cywilnej w okresie kolejnych 12 miesięcy =</w:t>
            </w:r>
            <w:r w:rsidR="004C0172">
              <w:rPr>
                <w:rFonts w:ascii="Times New Roman" w:hAnsi="Times New Roman"/>
                <w:color w:val="000000"/>
              </w:rPr>
              <w:t xml:space="preserve"> </w:t>
            </w:r>
            <w:r w:rsidR="008534C0" w:rsidRPr="008534C0">
              <w:rPr>
                <w:rFonts w:ascii="Times New Roman" w:hAnsi="Times New Roman"/>
                <w:color w:val="000000"/>
              </w:rPr>
              <w:t>152</w:t>
            </w:r>
            <w:r w:rsidR="008534C0">
              <w:rPr>
                <w:rFonts w:ascii="Times New Roman" w:hAnsi="Times New Roman"/>
                <w:color w:val="000000"/>
              </w:rPr>
              <w:t> </w:t>
            </w:r>
            <w:r w:rsidR="008534C0" w:rsidRPr="008534C0">
              <w:rPr>
                <w:rFonts w:ascii="Times New Roman" w:hAnsi="Times New Roman"/>
                <w:color w:val="000000"/>
              </w:rPr>
              <w:t>327</w:t>
            </w:r>
            <w:r w:rsidR="008534C0">
              <w:rPr>
                <w:rFonts w:ascii="Times New Roman" w:hAnsi="Times New Roman"/>
                <w:color w:val="000000"/>
              </w:rPr>
              <w:t xml:space="preserve"> </w:t>
            </w:r>
            <w:r w:rsidRPr="002D7ACF">
              <w:rPr>
                <w:rFonts w:ascii="Times New Roman" w:hAnsi="Times New Roman"/>
                <w:color w:val="000000"/>
              </w:rPr>
              <w:t>zł brutto</w:t>
            </w:r>
            <w:r w:rsidR="004D212A">
              <w:rPr>
                <w:rFonts w:ascii="Times New Roman" w:hAnsi="Times New Roman"/>
                <w:color w:val="000000"/>
              </w:rPr>
              <w:t xml:space="preserve"> </w:t>
            </w:r>
            <w:r w:rsidR="00657001">
              <w:rPr>
                <w:rFonts w:ascii="Times New Roman" w:hAnsi="Times New Roman"/>
                <w:color w:val="000000"/>
              </w:rPr>
              <w:t>+ waloryzacja</w:t>
            </w:r>
          </w:p>
          <w:p w14:paraId="38202094" w14:textId="71081480" w:rsidR="002D7ACF" w:rsidRPr="002D7ACF" w:rsidRDefault="002D7ACF" w:rsidP="002D7ACF">
            <w:pPr>
              <w:spacing w:before="120" w:after="120" w:line="240" w:lineRule="auto"/>
              <w:jc w:val="both"/>
              <w:rPr>
                <w:rFonts w:ascii="Times New Roman" w:hAnsi="Times New Roman"/>
                <w:color w:val="000000"/>
              </w:rPr>
            </w:pPr>
            <w:r w:rsidRPr="002D7ACF">
              <w:rPr>
                <w:rFonts w:ascii="Times New Roman" w:hAnsi="Times New Roman"/>
                <w:color w:val="000000"/>
              </w:rPr>
              <w:t xml:space="preserve">Wydatki budżetu państwa stanowiące skutek finansowy </w:t>
            </w:r>
            <w:r w:rsidR="00966E53">
              <w:rPr>
                <w:rFonts w:ascii="Times New Roman" w:hAnsi="Times New Roman"/>
                <w:color w:val="000000"/>
              </w:rPr>
              <w:t>wynikający z wdrożenia dyrektywy RED II</w:t>
            </w:r>
            <w:r w:rsidR="00064CC9">
              <w:rPr>
                <w:rFonts w:ascii="Times New Roman" w:hAnsi="Times New Roman"/>
                <w:color w:val="000000"/>
              </w:rPr>
              <w:t>,</w:t>
            </w:r>
            <w:r w:rsidR="00966E53">
              <w:rPr>
                <w:rFonts w:ascii="Times New Roman" w:hAnsi="Times New Roman"/>
                <w:color w:val="000000"/>
              </w:rPr>
              <w:t xml:space="preserve"> w tym </w:t>
            </w:r>
            <w:r w:rsidRPr="002D7ACF">
              <w:rPr>
                <w:rFonts w:ascii="Times New Roman" w:hAnsi="Times New Roman"/>
                <w:color w:val="000000"/>
              </w:rPr>
              <w:t>zwiększeni</w:t>
            </w:r>
            <w:r w:rsidR="00966E53">
              <w:rPr>
                <w:rFonts w:ascii="Times New Roman" w:hAnsi="Times New Roman"/>
                <w:color w:val="000000"/>
              </w:rPr>
              <w:t>e</w:t>
            </w:r>
            <w:r w:rsidRPr="002D7ACF">
              <w:rPr>
                <w:rFonts w:ascii="Times New Roman" w:hAnsi="Times New Roman"/>
                <w:color w:val="000000"/>
              </w:rPr>
              <w:t xml:space="preserve"> zatrudnienia w </w:t>
            </w:r>
            <w:proofErr w:type="spellStart"/>
            <w:r w:rsidRPr="002D7ACF">
              <w:rPr>
                <w:rFonts w:ascii="Times New Roman" w:hAnsi="Times New Roman"/>
                <w:color w:val="000000"/>
              </w:rPr>
              <w:t>MKiŚ</w:t>
            </w:r>
            <w:proofErr w:type="spellEnd"/>
            <w:r w:rsidRPr="002D7ACF">
              <w:rPr>
                <w:rFonts w:ascii="Times New Roman" w:hAnsi="Times New Roman"/>
                <w:color w:val="000000"/>
              </w:rPr>
              <w:t xml:space="preserve"> od 202</w:t>
            </w:r>
            <w:r w:rsidR="008534C0">
              <w:rPr>
                <w:rFonts w:ascii="Times New Roman" w:hAnsi="Times New Roman"/>
                <w:color w:val="000000"/>
              </w:rPr>
              <w:t>3</w:t>
            </w:r>
            <w:r w:rsidRPr="002D7ACF">
              <w:rPr>
                <w:rFonts w:ascii="Times New Roman" w:hAnsi="Times New Roman"/>
                <w:color w:val="000000"/>
              </w:rPr>
              <w:t xml:space="preserve"> r. o </w:t>
            </w:r>
            <w:r w:rsidR="00CA129A" w:rsidRPr="00212D5C">
              <w:rPr>
                <w:rFonts w:ascii="Times New Roman" w:hAnsi="Times New Roman"/>
                <w:b/>
                <w:bCs/>
                <w:color w:val="000000"/>
              </w:rPr>
              <w:t>pięć (</w:t>
            </w:r>
            <w:r w:rsidR="008534C0" w:rsidRPr="00212D5C">
              <w:rPr>
                <w:rFonts w:ascii="Times New Roman" w:hAnsi="Times New Roman"/>
                <w:b/>
                <w:bCs/>
                <w:color w:val="000000"/>
              </w:rPr>
              <w:t>5</w:t>
            </w:r>
            <w:r w:rsidR="00CA129A" w:rsidRPr="00212D5C">
              <w:rPr>
                <w:rFonts w:ascii="Times New Roman" w:hAnsi="Times New Roman"/>
                <w:b/>
                <w:bCs/>
                <w:color w:val="000000"/>
              </w:rPr>
              <w:t>)</w:t>
            </w:r>
            <w:r w:rsidR="008534C0" w:rsidRPr="00212D5C">
              <w:rPr>
                <w:rFonts w:ascii="Times New Roman" w:hAnsi="Times New Roman"/>
                <w:b/>
                <w:bCs/>
                <w:color w:val="000000"/>
              </w:rPr>
              <w:t xml:space="preserve"> </w:t>
            </w:r>
            <w:r w:rsidRPr="00212D5C">
              <w:rPr>
                <w:rFonts w:ascii="Times New Roman" w:hAnsi="Times New Roman"/>
                <w:b/>
                <w:bCs/>
                <w:color w:val="000000"/>
              </w:rPr>
              <w:t>etat</w:t>
            </w:r>
            <w:r w:rsidR="008534C0" w:rsidRPr="00212D5C">
              <w:rPr>
                <w:rFonts w:ascii="Times New Roman" w:hAnsi="Times New Roman"/>
                <w:b/>
                <w:bCs/>
                <w:color w:val="000000"/>
              </w:rPr>
              <w:t>ów</w:t>
            </w:r>
            <w:r w:rsidRPr="002D7ACF">
              <w:rPr>
                <w:rFonts w:ascii="Times New Roman" w:hAnsi="Times New Roman"/>
                <w:color w:val="000000"/>
              </w:rPr>
              <w:t>, zostaną pokryte z części 51</w:t>
            </w:r>
            <w:r w:rsidR="00A31C91">
              <w:rPr>
                <w:rFonts w:ascii="Times New Roman" w:hAnsi="Times New Roman"/>
                <w:color w:val="000000"/>
              </w:rPr>
              <w:t xml:space="preserve"> -</w:t>
            </w:r>
            <w:r w:rsidRPr="002D7ACF">
              <w:rPr>
                <w:rFonts w:ascii="Times New Roman" w:hAnsi="Times New Roman"/>
                <w:color w:val="000000"/>
              </w:rPr>
              <w:t xml:space="preserve"> </w:t>
            </w:r>
            <w:r w:rsidR="00A31C91">
              <w:rPr>
                <w:rFonts w:ascii="Times New Roman" w:hAnsi="Times New Roman"/>
                <w:color w:val="000000"/>
              </w:rPr>
              <w:t>K</w:t>
            </w:r>
            <w:r w:rsidRPr="002D7ACF">
              <w:rPr>
                <w:rFonts w:ascii="Times New Roman" w:hAnsi="Times New Roman"/>
                <w:color w:val="000000"/>
              </w:rPr>
              <w:t xml:space="preserve">limat, zwiększonej o kwoty wskazane </w:t>
            </w:r>
            <w:r w:rsidR="008534C0">
              <w:rPr>
                <w:rFonts w:ascii="Times New Roman" w:hAnsi="Times New Roman"/>
                <w:color w:val="000000"/>
              </w:rPr>
              <w:t xml:space="preserve">w tzw. regule wydatkowej w </w:t>
            </w:r>
            <w:r w:rsidRPr="002D7ACF">
              <w:rPr>
                <w:rFonts w:ascii="Times New Roman" w:hAnsi="Times New Roman"/>
                <w:color w:val="000000"/>
              </w:rPr>
              <w:t>projektowanej ustaw</w:t>
            </w:r>
            <w:r w:rsidR="008534C0">
              <w:rPr>
                <w:rFonts w:ascii="Times New Roman" w:hAnsi="Times New Roman"/>
                <w:color w:val="000000"/>
              </w:rPr>
              <w:t>ie</w:t>
            </w:r>
            <w:r w:rsidRPr="002D7ACF">
              <w:rPr>
                <w:rFonts w:ascii="Times New Roman" w:hAnsi="Times New Roman"/>
                <w:color w:val="000000"/>
              </w:rPr>
              <w:t>.</w:t>
            </w:r>
          </w:p>
          <w:p w14:paraId="5DBD8FE1" w14:textId="53E64FFE" w:rsidR="002D7ACF" w:rsidRDefault="002D7ACF" w:rsidP="00924891">
            <w:pPr>
              <w:spacing w:before="120" w:after="120" w:line="240" w:lineRule="auto"/>
              <w:jc w:val="both"/>
              <w:rPr>
                <w:rFonts w:ascii="Times New Roman" w:hAnsi="Times New Roman"/>
                <w:color w:val="000000"/>
              </w:rPr>
            </w:pPr>
            <w:r w:rsidRPr="002D7ACF">
              <w:rPr>
                <w:rFonts w:ascii="Times New Roman" w:hAnsi="Times New Roman"/>
                <w:color w:val="000000"/>
              </w:rPr>
              <w:t xml:space="preserve">W przypadku niezabezpieczenia w limicie </w:t>
            </w:r>
            <w:proofErr w:type="spellStart"/>
            <w:r w:rsidRPr="002D7ACF">
              <w:rPr>
                <w:rFonts w:ascii="Times New Roman" w:hAnsi="Times New Roman"/>
                <w:color w:val="000000"/>
              </w:rPr>
              <w:t>MKiŚ</w:t>
            </w:r>
            <w:proofErr w:type="spellEnd"/>
            <w:r w:rsidRPr="002D7ACF">
              <w:rPr>
                <w:rFonts w:ascii="Times New Roman" w:hAnsi="Times New Roman"/>
                <w:color w:val="000000"/>
              </w:rPr>
              <w:t xml:space="preserve"> środków na ten cel na 202</w:t>
            </w:r>
            <w:r w:rsidR="008534C0">
              <w:rPr>
                <w:rFonts w:ascii="Times New Roman" w:hAnsi="Times New Roman"/>
                <w:color w:val="000000"/>
              </w:rPr>
              <w:t>3</w:t>
            </w:r>
            <w:r w:rsidRPr="002D7ACF">
              <w:rPr>
                <w:rFonts w:ascii="Times New Roman" w:hAnsi="Times New Roman"/>
                <w:color w:val="000000"/>
              </w:rPr>
              <w:t xml:space="preserve"> r. sfinansowanie kosztów zwiększenia zatrudnienia w </w:t>
            </w:r>
            <w:proofErr w:type="spellStart"/>
            <w:r w:rsidRPr="002D7ACF">
              <w:rPr>
                <w:rFonts w:ascii="Times New Roman" w:hAnsi="Times New Roman"/>
                <w:color w:val="000000"/>
              </w:rPr>
              <w:t>MKiŚ</w:t>
            </w:r>
            <w:proofErr w:type="spellEnd"/>
            <w:r w:rsidRPr="002D7ACF">
              <w:rPr>
                <w:rFonts w:ascii="Times New Roman" w:hAnsi="Times New Roman"/>
                <w:color w:val="000000"/>
              </w:rPr>
              <w:t xml:space="preserve"> w 202</w:t>
            </w:r>
            <w:r w:rsidR="008534C0">
              <w:rPr>
                <w:rFonts w:ascii="Times New Roman" w:hAnsi="Times New Roman"/>
                <w:color w:val="000000"/>
              </w:rPr>
              <w:t>3</w:t>
            </w:r>
            <w:r w:rsidRPr="002D7ACF">
              <w:rPr>
                <w:rFonts w:ascii="Times New Roman" w:hAnsi="Times New Roman"/>
                <w:color w:val="000000"/>
              </w:rPr>
              <w:t xml:space="preserve"> r. nastąpi w ramach rezerwy celowej budżetu państwa na zwiększenie w części 51 </w:t>
            </w:r>
            <w:r w:rsidR="004E22DB">
              <w:rPr>
                <w:rFonts w:ascii="Times New Roman" w:hAnsi="Times New Roman"/>
                <w:color w:val="000000"/>
              </w:rPr>
              <w:t>- K</w:t>
            </w:r>
            <w:r w:rsidRPr="002D7ACF">
              <w:rPr>
                <w:rFonts w:ascii="Times New Roman" w:hAnsi="Times New Roman"/>
                <w:color w:val="000000"/>
              </w:rPr>
              <w:t>limat.</w:t>
            </w:r>
          </w:p>
          <w:p w14:paraId="58CA8617" w14:textId="4B046C9A" w:rsidR="008534C0" w:rsidRPr="00212D5C" w:rsidRDefault="008534C0" w:rsidP="00212D5C">
            <w:pPr>
              <w:spacing w:before="120" w:line="240" w:lineRule="auto"/>
              <w:jc w:val="both"/>
              <w:rPr>
                <w:rFonts w:ascii="Times New Roman" w:hAnsi="Times New Roman"/>
                <w:color w:val="000000"/>
                <w:u w:val="single"/>
              </w:rPr>
            </w:pPr>
            <w:r w:rsidRPr="00212D5C">
              <w:rPr>
                <w:rFonts w:ascii="Times New Roman" w:hAnsi="Times New Roman"/>
                <w:color w:val="000000"/>
                <w:u w:val="single"/>
              </w:rPr>
              <w:lastRenderedPageBreak/>
              <w:t>Urząd Regulacji Energetyki</w:t>
            </w:r>
          </w:p>
          <w:p w14:paraId="47A7896E" w14:textId="45979E80" w:rsidR="00611BCB" w:rsidRDefault="00611BCB" w:rsidP="00212D5C">
            <w:pPr>
              <w:spacing w:before="120" w:line="240" w:lineRule="auto"/>
              <w:rPr>
                <w:rFonts w:ascii="Times New Roman" w:hAnsi="Times New Roman"/>
                <w:color w:val="000000"/>
                <w:sz w:val="21"/>
                <w:szCs w:val="21"/>
              </w:rPr>
            </w:pPr>
            <w:r>
              <w:rPr>
                <w:rFonts w:ascii="Times New Roman" w:hAnsi="Times New Roman"/>
                <w:color w:val="000000"/>
                <w:sz w:val="21"/>
                <w:szCs w:val="21"/>
              </w:rPr>
              <w:t>Tabela 1</w:t>
            </w:r>
            <w:r w:rsidR="004C0172">
              <w:rPr>
                <w:rFonts w:ascii="Times New Roman" w:hAnsi="Times New Roman"/>
                <w:color w:val="000000"/>
                <w:sz w:val="21"/>
                <w:szCs w:val="21"/>
              </w:rPr>
              <w:t>1</w:t>
            </w:r>
            <w:r>
              <w:rPr>
                <w:rFonts w:ascii="Times New Roman" w:hAnsi="Times New Roman"/>
                <w:color w:val="000000"/>
                <w:sz w:val="21"/>
                <w:szCs w:val="21"/>
              </w:rPr>
              <w:t xml:space="preserve">. Łączne planowane koszty URE od 2023 do 2032 roku wynikające z zatrudnienia </w:t>
            </w:r>
            <w:r w:rsidRPr="00212D5C">
              <w:rPr>
                <w:rFonts w:ascii="Times New Roman" w:hAnsi="Times New Roman"/>
                <w:b/>
                <w:bCs/>
                <w:color w:val="000000"/>
                <w:sz w:val="21"/>
                <w:szCs w:val="21"/>
              </w:rPr>
              <w:t>sześciu (6) nowych</w:t>
            </w:r>
            <w:r>
              <w:rPr>
                <w:rFonts w:ascii="Times New Roman" w:hAnsi="Times New Roman"/>
                <w:color w:val="000000"/>
                <w:sz w:val="21"/>
                <w:szCs w:val="21"/>
              </w:rPr>
              <w:t xml:space="preserve"> pracowników</w:t>
            </w:r>
          </w:p>
          <w:tbl>
            <w:tblPr>
              <w:tblW w:w="8095" w:type="dxa"/>
              <w:tblLayout w:type="fixed"/>
              <w:tblCellMar>
                <w:left w:w="70" w:type="dxa"/>
                <w:right w:w="70" w:type="dxa"/>
              </w:tblCellMar>
              <w:tblLook w:val="04A0" w:firstRow="1" w:lastRow="0" w:firstColumn="1" w:lastColumn="0" w:noHBand="0" w:noVBand="1"/>
            </w:tblPr>
            <w:tblGrid>
              <w:gridCol w:w="1056"/>
              <w:gridCol w:w="700"/>
              <w:gridCol w:w="638"/>
              <w:gridCol w:w="712"/>
              <w:gridCol w:w="712"/>
              <w:gridCol w:w="712"/>
              <w:gridCol w:w="712"/>
              <w:gridCol w:w="712"/>
              <w:gridCol w:w="712"/>
              <w:gridCol w:w="712"/>
              <w:gridCol w:w="717"/>
            </w:tblGrid>
            <w:tr w:rsidR="00611BCB" w:rsidRPr="00687093" w14:paraId="656712A5" w14:textId="77777777" w:rsidTr="00870F69">
              <w:trPr>
                <w:trHeight w:val="333"/>
              </w:trPr>
              <w:tc>
                <w:tcPr>
                  <w:tcW w:w="10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150291E" w14:textId="77777777" w:rsidR="00611BCB" w:rsidRPr="007C6D0B" w:rsidRDefault="00611BCB" w:rsidP="00611BCB">
                  <w:pPr>
                    <w:spacing w:line="240" w:lineRule="auto"/>
                    <w:rPr>
                      <w:rFonts w:ascii="Times New Roman" w:eastAsia="Times New Roman" w:hAnsi="Times New Roman"/>
                      <w:b/>
                      <w:bCs/>
                      <w:color w:val="000000"/>
                      <w:sz w:val="18"/>
                      <w:szCs w:val="18"/>
                      <w:lang w:eastAsia="pl-PL"/>
                    </w:rPr>
                  </w:pPr>
                  <w:r w:rsidRPr="007C6D0B">
                    <w:rPr>
                      <w:rFonts w:ascii="Times New Roman" w:eastAsia="Times New Roman" w:hAnsi="Times New Roman"/>
                      <w:b/>
                      <w:bCs/>
                      <w:color w:val="000000"/>
                      <w:sz w:val="18"/>
                      <w:szCs w:val="18"/>
                      <w:lang w:eastAsia="pl-PL"/>
                    </w:rPr>
                    <w:t>Pozycja</w:t>
                  </w:r>
                </w:p>
              </w:tc>
              <w:tc>
                <w:tcPr>
                  <w:tcW w:w="700" w:type="dxa"/>
                  <w:tcBorders>
                    <w:top w:val="single" w:sz="8" w:space="0" w:color="auto"/>
                    <w:left w:val="nil"/>
                    <w:bottom w:val="single" w:sz="8" w:space="0" w:color="auto"/>
                    <w:right w:val="single" w:sz="8" w:space="0" w:color="auto"/>
                  </w:tcBorders>
                  <w:shd w:val="clear" w:color="000000" w:fill="D9D9D9"/>
                  <w:noWrap/>
                  <w:vAlign w:val="center"/>
                  <w:hideMark/>
                </w:tcPr>
                <w:p w14:paraId="7B460371"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2023</w:t>
                  </w:r>
                </w:p>
              </w:tc>
              <w:tc>
                <w:tcPr>
                  <w:tcW w:w="638" w:type="dxa"/>
                  <w:tcBorders>
                    <w:top w:val="single" w:sz="8" w:space="0" w:color="auto"/>
                    <w:left w:val="nil"/>
                    <w:bottom w:val="single" w:sz="8" w:space="0" w:color="auto"/>
                    <w:right w:val="single" w:sz="8" w:space="0" w:color="auto"/>
                  </w:tcBorders>
                  <w:shd w:val="clear" w:color="000000" w:fill="D9D9D9"/>
                  <w:noWrap/>
                  <w:vAlign w:val="center"/>
                  <w:hideMark/>
                </w:tcPr>
                <w:p w14:paraId="47FEF1F3"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2024</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1A94CBE0"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2025</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595E069F"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2026</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0730EF16"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2027</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7B50D2FD"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2028</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66BB365C"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2029</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37214A67"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2030</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1330293D"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2031</w:t>
                  </w:r>
                </w:p>
              </w:tc>
              <w:tc>
                <w:tcPr>
                  <w:tcW w:w="712" w:type="dxa"/>
                  <w:tcBorders>
                    <w:top w:val="single" w:sz="8" w:space="0" w:color="auto"/>
                    <w:left w:val="nil"/>
                    <w:bottom w:val="single" w:sz="8" w:space="0" w:color="auto"/>
                    <w:right w:val="single" w:sz="8" w:space="0" w:color="auto"/>
                  </w:tcBorders>
                  <w:shd w:val="clear" w:color="000000" w:fill="D9D9D9"/>
                  <w:noWrap/>
                  <w:vAlign w:val="center"/>
                  <w:hideMark/>
                </w:tcPr>
                <w:p w14:paraId="39AAB824"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hAnsi="Times New Roman"/>
                      <w:b/>
                      <w:bCs/>
                      <w:color w:val="000000"/>
                      <w:sz w:val="18"/>
                      <w:szCs w:val="18"/>
                    </w:rPr>
                    <w:t>2032</w:t>
                  </w:r>
                </w:p>
              </w:tc>
            </w:tr>
            <w:tr w:rsidR="00611BCB" w:rsidRPr="00687093" w14:paraId="06CB6AA3" w14:textId="77777777" w:rsidTr="00870F69">
              <w:trPr>
                <w:trHeight w:val="333"/>
              </w:trPr>
              <w:tc>
                <w:tcPr>
                  <w:tcW w:w="1056" w:type="dxa"/>
                  <w:tcBorders>
                    <w:top w:val="nil"/>
                    <w:left w:val="single" w:sz="8" w:space="0" w:color="auto"/>
                    <w:bottom w:val="single" w:sz="4" w:space="0" w:color="auto"/>
                    <w:right w:val="single" w:sz="8" w:space="0" w:color="auto"/>
                  </w:tcBorders>
                  <w:shd w:val="clear" w:color="000000" w:fill="D9D9D9"/>
                  <w:noWrap/>
                  <w:vAlign w:val="center"/>
                  <w:hideMark/>
                </w:tcPr>
                <w:p w14:paraId="3E432E6A" w14:textId="77777777" w:rsidR="00611BCB" w:rsidRPr="007C6D0B" w:rsidRDefault="00611BCB" w:rsidP="00611BCB">
                  <w:pPr>
                    <w:spacing w:line="240" w:lineRule="auto"/>
                    <w:rPr>
                      <w:rFonts w:ascii="Times New Roman" w:eastAsia="Times New Roman" w:hAnsi="Times New Roman"/>
                      <w:b/>
                      <w:bCs/>
                      <w:color w:val="000000"/>
                      <w:sz w:val="18"/>
                      <w:szCs w:val="18"/>
                      <w:lang w:eastAsia="pl-PL"/>
                    </w:rPr>
                  </w:pPr>
                </w:p>
              </w:tc>
              <w:tc>
                <w:tcPr>
                  <w:tcW w:w="7039" w:type="dxa"/>
                  <w:gridSpan w:val="10"/>
                  <w:tcBorders>
                    <w:top w:val="single" w:sz="8" w:space="0" w:color="auto"/>
                    <w:left w:val="nil"/>
                    <w:bottom w:val="single" w:sz="4" w:space="0" w:color="auto"/>
                    <w:right w:val="single" w:sz="8" w:space="0" w:color="000000"/>
                  </w:tcBorders>
                  <w:shd w:val="clear" w:color="000000" w:fill="D9D9D9"/>
                  <w:noWrap/>
                  <w:vAlign w:val="center"/>
                  <w:hideMark/>
                </w:tcPr>
                <w:p w14:paraId="3258769E" w14:textId="77777777" w:rsidR="00611BCB" w:rsidRPr="007C6D0B" w:rsidRDefault="00611BCB" w:rsidP="00611BCB">
                  <w:pPr>
                    <w:spacing w:line="240" w:lineRule="auto"/>
                    <w:jc w:val="center"/>
                    <w:rPr>
                      <w:rFonts w:ascii="Times New Roman" w:eastAsia="Times New Roman" w:hAnsi="Times New Roman"/>
                      <w:b/>
                      <w:bCs/>
                      <w:color w:val="000000"/>
                      <w:sz w:val="18"/>
                      <w:szCs w:val="18"/>
                      <w:lang w:eastAsia="pl-PL"/>
                    </w:rPr>
                  </w:pPr>
                  <w:r w:rsidRPr="007C6D0B">
                    <w:rPr>
                      <w:rFonts w:ascii="Times New Roman" w:eastAsia="Times New Roman" w:hAnsi="Times New Roman"/>
                      <w:b/>
                      <w:bCs/>
                      <w:color w:val="000000"/>
                      <w:sz w:val="18"/>
                      <w:szCs w:val="18"/>
                      <w:lang w:eastAsia="pl-PL"/>
                    </w:rPr>
                    <w:t>Koszty w zł</w:t>
                  </w:r>
                </w:p>
              </w:tc>
            </w:tr>
            <w:tr w:rsidR="00611BCB" w:rsidRPr="00687093" w14:paraId="61723F0A" w14:textId="77777777" w:rsidTr="00870F69">
              <w:trPr>
                <w:trHeight w:val="33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9D85" w14:textId="77777777" w:rsidR="00611BCB" w:rsidRPr="007C6D0B" w:rsidRDefault="00611BCB" w:rsidP="00611BCB">
                  <w:pPr>
                    <w:spacing w:line="240" w:lineRule="auto"/>
                    <w:rPr>
                      <w:rFonts w:ascii="Times New Roman" w:eastAsia="Times New Roman" w:hAnsi="Times New Roman"/>
                      <w:color w:val="000000"/>
                      <w:sz w:val="18"/>
                      <w:szCs w:val="18"/>
                      <w:lang w:eastAsia="pl-PL"/>
                    </w:rPr>
                  </w:pPr>
                  <w:r w:rsidRPr="007C6D0B">
                    <w:rPr>
                      <w:rFonts w:ascii="Times New Roman" w:eastAsia="Times New Roman" w:hAnsi="Times New Roman"/>
                      <w:color w:val="000000"/>
                      <w:sz w:val="18"/>
                      <w:szCs w:val="18"/>
                      <w:lang w:eastAsia="pl-PL"/>
                    </w:rPr>
                    <w:t>Pozycja 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DAE6" w14:textId="707D530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240 000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B6C65" w14:textId="4D95F73B"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180 000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A1311" w14:textId="151C2DD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184 500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A4BBE" w14:textId="7D5774B5"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189 114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88652" w14:textId="7128FCB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219 114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5F0E0" w14:textId="196E340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198 684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893B" w14:textId="7FFCEAED"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203 652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B7DB1" w14:textId="7A167B9E"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208 746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1C04C" w14:textId="22247712"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255 966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B0B03" w14:textId="409E5613"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219 312</w:t>
                  </w:r>
                </w:p>
              </w:tc>
            </w:tr>
            <w:tr w:rsidR="00611BCB" w:rsidRPr="00687093" w14:paraId="1EBCED94" w14:textId="77777777" w:rsidTr="00870F69">
              <w:trPr>
                <w:trHeight w:val="333"/>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95160" w14:textId="77777777" w:rsidR="00611BCB" w:rsidRPr="007C6D0B" w:rsidRDefault="00611BCB" w:rsidP="00611BCB">
                  <w:pPr>
                    <w:spacing w:line="240" w:lineRule="auto"/>
                    <w:rPr>
                      <w:rFonts w:ascii="Times New Roman" w:eastAsia="Times New Roman" w:hAnsi="Times New Roman"/>
                      <w:color w:val="000000"/>
                      <w:sz w:val="18"/>
                      <w:szCs w:val="18"/>
                      <w:lang w:eastAsia="pl-PL"/>
                    </w:rPr>
                  </w:pPr>
                  <w:r w:rsidRPr="007C6D0B">
                    <w:rPr>
                      <w:rFonts w:ascii="Times New Roman" w:eastAsia="Times New Roman" w:hAnsi="Times New Roman"/>
                      <w:color w:val="000000"/>
                      <w:sz w:val="18"/>
                      <w:szCs w:val="18"/>
                      <w:lang w:eastAsia="pl-PL"/>
                    </w:rPr>
                    <w:t>Pozycja 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3BB8B" w14:textId="127F9F06"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842 400</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C473" w14:textId="53636AB4"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932 460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33A7A" w14:textId="561E4AE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955 771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5E31" w14:textId="18A11C8A"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979 666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57203" w14:textId="17E39F3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1 004 158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3D2BA" w14:textId="597B52B5"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1 029 262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80A27" w14:textId="63022FA1"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1 054 993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A592C" w14:textId="63806DF9"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1 081 368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BF979" w14:textId="34712E8A"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1 108 402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E86FA" w14:textId="7A1B7AB8" w:rsidR="00611BCB" w:rsidRPr="00611BCB" w:rsidRDefault="00611BCB" w:rsidP="00611BCB">
                  <w:pPr>
                    <w:spacing w:line="240" w:lineRule="auto"/>
                    <w:ind w:left="-120"/>
                    <w:jc w:val="right"/>
                    <w:rPr>
                      <w:rFonts w:ascii="Times New Roman" w:eastAsia="Times New Roman" w:hAnsi="Times New Roman"/>
                      <w:color w:val="000000"/>
                      <w:sz w:val="18"/>
                      <w:szCs w:val="18"/>
                      <w:lang w:eastAsia="pl-PL"/>
                    </w:rPr>
                  </w:pPr>
                  <w:r w:rsidRPr="00611BCB">
                    <w:rPr>
                      <w:rFonts w:ascii="Times New Roman" w:hAnsi="Times New Roman"/>
                      <w:color w:val="000000"/>
                      <w:sz w:val="18"/>
                      <w:szCs w:val="18"/>
                    </w:rPr>
                    <w:t>1 136 112</w:t>
                  </w:r>
                </w:p>
              </w:tc>
            </w:tr>
            <w:tr w:rsidR="00611BCB" w:rsidRPr="00687093" w14:paraId="5302D0D5" w14:textId="77777777" w:rsidTr="00870F69">
              <w:trPr>
                <w:trHeight w:val="333"/>
              </w:trPr>
              <w:tc>
                <w:tcPr>
                  <w:tcW w:w="105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F3088D" w14:textId="77777777" w:rsidR="00611BCB" w:rsidRPr="007C6D0B" w:rsidRDefault="00611BCB" w:rsidP="00611BCB">
                  <w:pPr>
                    <w:spacing w:line="240" w:lineRule="auto"/>
                    <w:rPr>
                      <w:rFonts w:ascii="Times New Roman" w:eastAsia="Times New Roman" w:hAnsi="Times New Roman"/>
                      <w:b/>
                      <w:color w:val="000000"/>
                      <w:sz w:val="18"/>
                      <w:szCs w:val="18"/>
                      <w:lang w:eastAsia="pl-PL"/>
                    </w:rPr>
                  </w:pPr>
                  <w:r w:rsidRPr="007C6D0B">
                    <w:rPr>
                      <w:rFonts w:ascii="Times New Roman" w:eastAsia="Times New Roman" w:hAnsi="Times New Roman"/>
                      <w:b/>
                      <w:color w:val="000000"/>
                      <w:sz w:val="18"/>
                      <w:szCs w:val="18"/>
                      <w:lang w:eastAsia="pl-PL"/>
                    </w:rPr>
                    <w:t>Suma:</w:t>
                  </w:r>
                </w:p>
              </w:tc>
              <w:tc>
                <w:tcPr>
                  <w:tcW w:w="700" w:type="dxa"/>
                  <w:tcBorders>
                    <w:top w:val="single" w:sz="4" w:space="0" w:color="auto"/>
                    <w:left w:val="nil"/>
                    <w:bottom w:val="single" w:sz="8" w:space="0" w:color="auto"/>
                    <w:right w:val="single" w:sz="8" w:space="0" w:color="auto"/>
                  </w:tcBorders>
                  <w:shd w:val="clear" w:color="auto" w:fill="auto"/>
                  <w:noWrap/>
                  <w:vAlign w:val="bottom"/>
                </w:tcPr>
                <w:p w14:paraId="169BF57F" w14:textId="2A856EAA"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17" w:name="_Hlk90505472"/>
                  <w:r w:rsidRPr="00611BCB">
                    <w:rPr>
                      <w:rFonts w:ascii="Times New Roman" w:hAnsi="Times New Roman"/>
                      <w:b/>
                      <w:bCs/>
                      <w:color w:val="000000"/>
                      <w:sz w:val="18"/>
                      <w:szCs w:val="18"/>
                    </w:rPr>
                    <w:t>1 082 400</w:t>
                  </w:r>
                  <w:bookmarkEnd w:id="17"/>
                </w:p>
              </w:tc>
              <w:tc>
                <w:tcPr>
                  <w:tcW w:w="638" w:type="dxa"/>
                  <w:tcBorders>
                    <w:top w:val="single" w:sz="4" w:space="0" w:color="auto"/>
                    <w:left w:val="nil"/>
                    <w:bottom w:val="single" w:sz="8" w:space="0" w:color="auto"/>
                    <w:right w:val="single" w:sz="8" w:space="0" w:color="auto"/>
                  </w:tcBorders>
                  <w:shd w:val="clear" w:color="auto" w:fill="auto"/>
                  <w:noWrap/>
                  <w:vAlign w:val="bottom"/>
                </w:tcPr>
                <w:p w14:paraId="7825CEAB" w14:textId="1BCC0D41"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18" w:name="_Hlk90505480"/>
                  <w:r w:rsidRPr="00611BCB">
                    <w:rPr>
                      <w:rFonts w:ascii="Times New Roman" w:hAnsi="Times New Roman"/>
                      <w:b/>
                      <w:bCs/>
                      <w:color w:val="000000"/>
                      <w:sz w:val="18"/>
                      <w:szCs w:val="18"/>
                    </w:rPr>
                    <w:t>1 112 460</w:t>
                  </w:r>
                  <w:bookmarkEnd w:id="18"/>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5D76658A" w14:textId="7308E34F"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19" w:name="_Hlk90505486"/>
                  <w:r w:rsidRPr="00611BCB">
                    <w:rPr>
                      <w:rFonts w:ascii="Times New Roman" w:hAnsi="Times New Roman"/>
                      <w:b/>
                      <w:bCs/>
                      <w:color w:val="000000"/>
                      <w:sz w:val="18"/>
                      <w:szCs w:val="18"/>
                    </w:rPr>
                    <w:t>1 140 271</w:t>
                  </w:r>
                  <w:bookmarkEnd w:id="19"/>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22223CDF" w14:textId="60037A40"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0" w:name="_Hlk90505493"/>
                  <w:r w:rsidRPr="00611BCB">
                    <w:rPr>
                      <w:rFonts w:ascii="Times New Roman" w:hAnsi="Times New Roman"/>
                      <w:b/>
                      <w:bCs/>
                      <w:color w:val="000000"/>
                      <w:sz w:val="18"/>
                      <w:szCs w:val="18"/>
                    </w:rPr>
                    <w:t>1 168 780</w:t>
                  </w:r>
                  <w:bookmarkEnd w:id="20"/>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1685F368" w14:textId="4545076D"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1" w:name="_Hlk90505500"/>
                  <w:r w:rsidRPr="00611BCB">
                    <w:rPr>
                      <w:rFonts w:ascii="Times New Roman" w:hAnsi="Times New Roman"/>
                      <w:b/>
                      <w:bCs/>
                      <w:color w:val="000000"/>
                      <w:sz w:val="18"/>
                      <w:szCs w:val="18"/>
                    </w:rPr>
                    <w:t>1 223 272</w:t>
                  </w:r>
                  <w:bookmarkEnd w:id="21"/>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2BD79FB2" w14:textId="5CCA0F6A"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2" w:name="_Hlk90505507"/>
                  <w:r w:rsidRPr="00611BCB">
                    <w:rPr>
                      <w:rFonts w:ascii="Times New Roman" w:hAnsi="Times New Roman"/>
                      <w:b/>
                      <w:bCs/>
                      <w:color w:val="000000"/>
                      <w:sz w:val="18"/>
                      <w:szCs w:val="18"/>
                    </w:rPr>
                    <w:t>1 227 946</w:t>
                  </w:r>
                  <w:bookmarkEnd w:id="22"/>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0A162B03" w14:textId="75C0063C"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3" w:name="_Hlk90505516"/>
                  <w:r w:rsidRPr="00611BCB">
                    <w:rPr>
                      <w:rFonts w:ascii="Times New Roman" w:hAnsi="Times New Roman"/>
                      <w:b/>
                      <w:bCs/>
                      <w:color w:val="000000"/>
                      <w:sz w:val="18"/>
                      <w:szCs w:val="18"/>
                    </w:rPr>
                    <w:t>1 258 645</w:t>
                  </w:r>
                  <w:bookmarkEnd w:id="23"/>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0F7CC02D" w14:textId="68DC8324"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4" w:name="_Hlk90505526"/>
                  <w:r w:rsidRPr="00611BCB">
                    <w:rPr>
                      <w:rFonts w:ascii="Times New Roman" w:hAnsi="Times New Roman"/>
                      <w:b/>
                      <w:bCs/>
                      <w:color w:val="000000"/>
                      <w:sz w:val="18"/>
                      <w:szCs w:val="18"/>
                    </w:rPr>
                    <w:t>1 290 114</w:t>
                  </w:r>
                  <w:bookmarkEnd w:id="24"/>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3FE526A9" w14:textId="06F2321F"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5" w:name="_Hlk90505533"/>
                  <w:r w:rsidRPr="00611BCB">
                    <w:rPr>
                      <w:rFonts w:ascii="Times New Roman" w:hAnsi="Times New Roman"/>
                      <w:b/>
                      <w:bCs/>
                      <w:color w:val="000000"/>
                      <w:sz w:val="18"/>
                      <w:szCs w:val="18"/>
                    </w:rPr>
                    <w:t>1 364 368</w:t>
                  </w:r>
                  <w:bookmarkEnd w:id="25"/>
                </w:p>
              </w:tc>
              <w:tc>
                <w:tcPr>
                  <w:tcW w:w="712" w:type="dxa"/>
                  <w:tcBorders>
                    <w:top w:val="single" w:sz="4" w:space="0" w:color="auto"/>
                    <w:left w:val="nil"/>
                    <w:bottom w:val="single" w:sz="8" w:space="0" w:color="auto"/>
                    <w:right w:val="single" w:sz="8" w:space="0" w:color="auto"/>
                  </w:tcBorders>
                  <w:shd w:val="clear" w:color="auto" w:fill="auto"/>
                  <w:noWrap/>
                  <w:vAlign w:val="bottom"/>
                </w:tcPr>
                <w:p w14:paraId="5508F098" w14:textId="1545D693" w:rsidR="00611BCB" w:rsidRPr="00611BCB" w:rsidRDefault="00611BCB" w:rsidP="00611BCB">
                  <w:pPr>
                    <w:spacing w:line="240" w:lineRule="auto"/>
                    <w:ind w:left="-120"/>
                    <w:jc w:val="right"/>
                    <w:rPr>
                      <w:rFonts w:ascii="Times New Roman" w:eastAsia="Times New Roman" w:hAnsi="Times New Roman"/>
                      <w:b/>
                      <w:bCs/>
                      <w:color w:val="000000"/>
                      <w:sz w:val="18"/>
                      <w:szCs w:val="18"/>
                      <w:lang w:eastAsia="pl-PL"/>
                    </w:rPr>
                  </w:pPr>
                  <w:bookmarkStart w:id="26" w:name="_Hlk90505581"/>
                  <w:r w:rsidRPr="00611BCB">
                    <w:rPr>
                      <w:rFonts w:ascii="Times New Roman" w:hAnsi="Times New Roman"/>
                      <w:b/>
                      <w:bCs/>
                      <w:color w:val="000000"/>
                      <w:sz w:val="18"/>
                      <w:szCs w:val="18"/>
                    </w:rPr>
                    <w:t>1 355 424</w:t>
                  </w:r>
                  <w:bookmarkEnd w:id="26"/>
                </w:p>
              </w:tc>
            </w:tr>
          </w:tbl>
          <w:p w14:paraId="062E1014" w14:textId="302B8EF5" w:rsidR="00924891" w:rsidRDefault="00924891" w:rsidP="00143FD8">
            <w:pPr>
              <w:tabs>
                <w:tab w:val="left" w:pos="234"/>
              </w:tabs>
              <w:spacing w:line="240" w:lineRule="auto"/>
              <w:jc w:val="both"/>
              <w:rPr>
                <w:rFonts w:ascii="Times New Roman" w:hAnsi="Times New Roman"/>
                <w:b/>
                <w:sz w:val="24"/>
                <w:szCs w:val="24"/>
                <w:highlight w:val="lightGray"/>
              </w:rPr>
            </w:pPr>
          </w:p>
          <w:p w14:paraId="456F3D20" w14:textId="5386BB0E" w:rsidR="00BB0FD8" w:rsidRPr="006011F9" w:rsidRDefault="00BB0FD8" w:rsidP="00143FD8">
            <w:pPr>
              <w:tabs>
                <w:tab w:val="left" w:pos="234"/>
              </w:tabs>
              <w:spacing w:line="240" w:lineRule="auto"/>
              <w:jc w:val="both"/>
              <w:rPr>
                <w:rFonts w:ascii="Times New Roman" w:hAnsi="Times New Roman"/>
                <w:b/>
                <w:sz w:val="24"/>
                <w:szCs w:val="24"/>
              </w:rPr>
            </w:pPr>
            <w:r w:rsidRPr="00AF1C2E">
              <w:rPr>
                <w:rFonts w:ascii="Times New Roman" w:hAnsi="Times New Roman"/>
                <w:b/>
                <w:sz w:val="24"/>
                <w:szCs w:val="24"/>
                <w:highlight w:val="lightGray"/>
              </w:rPr>
              <w:t>Wpływ na sektor finansów publicznych</w:t>
            </w:r>
          </w:p>
          <w:p w14:paraId="18E11087" w14:textId="77777777" w:rsidR="002C5B83" w:rsidRPr="00143FD8" w:rsidRDefault="002C5B83" w:rsidP="002C5B83">
            <w:pPr>
              <w:tabs>
                <w:tab w:val="left" w:pos="234"/>
              </w:tabs>
              <w:spacing w:after="120" w:line="240" w:lineRule="auto"/>
              <w:jc w:val="both"/>
              <w:rPr>
                <w:rFonts w:ascii="Times New Roman" w:hAnsi="Times New Roman"/>
                <w:b/>
                <w:bCs/>
                <w:color w:val="000000"/>
                <w:u w:val="single"/>
              </w:rPr>
            </w:pPr>
            <w:r w:rsidRPr="00143FD8">
              <w:rPr>
                <w:rFonts w:ascii="Times New Roman" w:hAnsi="Times New Roman"/>
                <w:b/>
                <w:bCs/>
                <w:color w:val="000000"/>
                <w:u w:val="single"/>
              </w:rPr>
              <w:t xml:space="preserve">I. </w:t>
            </w:r>
            <w:proofErr w:type="spellStart"/>
            <w:r w:rsidRPr="00143FD8">
              <w:rPr>
                <w:rFonts w:ascii="Times New Roman" w:hAnsi="Times New Roman"/>
                <w:b/>
                <w:bCs/>
                <w:color w:val="000000"/>
                <w:u w:val="single"/>
              </w:rPr>
              <w:t>Biometan</w:t>
            </w:r>
            <w:proofErr w:type="spellEnd"/>
            <w:r w:rsidRPr="00143FD8">
              <w:rPr>
                <w:rFonts w:ascii="Times New Roman" w:hAnsi="Times New Roman"/>
                <w:b/>
                <w:bCs/>
                <w:color w:val="000000"/>
                <w:u w:val="single"/>
              </w:rPr>
              <w:t xml:space="preserve"> </w:t>
            </w:r>
          </w:p>
          <w:p w14:paraId="0D43BCFC" w14:textId="77777777" w:rsidR="002C5B83" w:rsidRDefault="002C5B83" w:rsidP="002C5B83">
            <w:pPr>
              <w:tabs>
                <w:tab w:val="left" w:pos="234"/>
              </w:tabs>
              <w:spacing w:after="120" w:line="240" w:lineRule="auto"/>
              <w:jc w:val="both"/>
              <w:rPr>
                <w:rFonts w:ascii="Times New Roman" w:hAnsi="Times New Roman"/>
                <w:color w:val="000000"/>
              </w:rPr>
            </w:pPr>
            <w:r>
              <w:rPr>
                <w:rFonts w:ascii="Times New Roman" w:hAnsi="Times New Roman"/>
                <w:color w:val="000000"/>
              </w:rPr>
              <w:t xml:space="preserve">Z uwagi na fakt, iż jednostki sektora finansów publicznych również są odbiorcami gazu ziemnego, rozwój sektora </w:t>
            </w:r>
            <w:proofErr w:type="spellStart"/>
            <w:r>
              <w:rPr>
                <w:rFonts w:ascii="Times New Roman" w:hAnsi="Times New Roman"/>
                <w:color w:val="000000"/>
              </w:rPr>
              <w:t>biometanu</w:t>
            </w:r>
            <w:proofErr w:type="spellEnd"/>
            <w:r>
              <w:rPr>
                <w:rFonts w:ascii="Times New Roman" w:hAnsi="Times New Roman"/>
                <w:color w:val="000000"/>
              </w:rPr>
              <w:t xml:space="preserve"> będzie wywierał wpływ na ich funkcjonowanie i będzie efektem szacowanego wzrostu kosztów zaopatrzenia w paliwo gazowe.</w:t>
            </w:r>
          </w:p>
          <w:p w14:paraId="7AB5D8A3" w14:textId="77777777" w:rsidR="002C5B83" w:rsidRDefault="002C5B83" w:rsidP="002C5B83">
            <w:pPr>
              <w:spacing w:after="120" w:line="240" w:lineRule="auto"/>
              <w:jc w:val="both"/>
              <w:rPr>
                <w:rFonts w:ascii="Times New Roman" w:hAnsi="Times New Roman"/>
                <w:color w:val="000000"/>
                <w:spacing w:val="-2"/>
              </w:rPr>
            </w:pPr>
            <w:r>
              <w:rPr>
                <w:rFonts w:ascii="Times New Roman" w:hAnsi="Times New Roman"/>
                <w:color w:val="000000"/>
                <w:spacing w:val="-2"/>
              </w:rPr>
              <w:t xml:space="preserve">Jednocześnie rozwój instalacji </w:t>
            </w:r>
            <w:proofErr w:type="spellStart"/>
            <w:r>
              <w:rPr>
                <w:rFonts w:ascii="Times New Roman" w:hAnsi="Times New Roman"/>
                <w:color w:val="000000"/>
                <w:spacing w:val="-2"/>
              </w:rPr>
              <w:t>biometanowych</w:t>
            </w:r>
            <w:proofErr w:type="spellEnd"/>
            <w:r>
              <w:rPr>
                <w:rFonts w:ascii="Times New Roman" w:hAnsi="Times New Roman"/>
                <w:color w:val="000000"/>
                <w:spacing w:val="-2"/>
              </w:rPr>
              <w:t xml:space="preserve"> wykorzystujących bioodpady oraz odpady komunalne może wywołać pozytywny wpływ na samorządy gmin, które zgodnie z przepisami ustawy z dnia 13 września 1996 r. </w:t>
            </w:r>
            <w:r w:rsidRPr="00291B2C">
              <w:rPr>
                <w:rFonts w:ascii="Times New Roman" w:hAnsi="Times New Roman"/>
                <w:i/>
                <w:color w:val="000000"/>
                <w:spacing w:val="-2"/>
              </w:rPr>
              <w:t>o utrzymaniu czystości i porządku w gminach</w:t>
            </w:r>
            <w:r>
              <w:rPr>
                <w:rFonts w:ascii="Times New Roman" w:hAnsi="Times New Roman"/>
                <w:i/>
                <w:color w:val="000000"/>
                <w:spacing w:val="-2"/>
              </w:rPr>
              <w:t xml:space="preserve"> </w:t>
            </w:r>
            <w:r>
              <w:rPr>
                <w:rFonts w:ascii="Times New Roman" w:hAnsi="Times New Roman"/>
                <w:color w:val="000000"/>
                <w:spacing w:val="-2"/>
              </w:rPr>
              <w:t xml:space="preserve">w ramach zadań własnych gminy są m.in. odpowiedzialne za system gospodarowania odpadami komunalnymi, jak również zapewniają selektywne zbieranie odpadów takich jak bioodpady. </w:t>
            </w:r>
          </w:p>
          <w:p w14:paraId="2D44D98B" w14:textId="259401A8" w:rsidR="002C5B83" w:rsidRDefault="002C5B83" w:rsidP="002C5B83">
            <w:pPr>
              <w:tabs>
                <w:tab w:val="left" w:pos="234"/>
              </w:tabs>
              <w:spacing w:after="120" w:line="240" w:lineRule="auto"/>
              <w:jc w:val="both"/>
              <w:rPr>
                <w:rFonts w:ascii="Times New Roman" w:hAnsi="Times New Roman"/>
                <w:color w:val="000000"/>
                <w:spacing w:val="-2"/>
              </w:rPr>
            </w:pPr>
            <w:r>
              <w:rPr>
                <w:rFonts w:ascii="Times New Roman" w:hAnsi="Times New Roman"/>
                <w:color w:val="000000"/>
                <w:spacing w:val="-2"/>
              </w:rPr>
              <w:t>Samorządy zobowiązane są do ograniczania masy odpadów komunalnych ulegających biodegradacji przekazywanych do składowania. W zależności od miejsca wytwarzania, rodzaju zabudowy miejscowości oraz sezonowości ilość materii organicznej powstająca w odpadach komunalnych określa się na poziomie 25-35%. Strumień odpadów biodegradowalnych powstałych z selektywnej zbiórki sukcesywnie wzrasta, natomiast samorządy są zobligowane do wskazania miejsc jego zagospodarowania. Podejmowane w tym zakresi</w:t>
            </w:r>
            <w:r w:rsidR="00245A3F">
              <w:rPr>
                <w:rFonts w:ascii="Times New Roman" w:hAnsi="Times New Roman"/>
                <w:color w:val="000000"/>
                <w:spacing w:val="-2"/>
              </w:rPr>
              <w:t>e</w:t>
            </w:r>
            <w:r>
              <w:rPr>
                <w:rFonts w:ascii="Times New Roman" w:hAnsi="Times New Roman"/>
                <w:color w:val="000000"/>
                <w:spacing w:val="-2"/>
              </w:rPr>
              <w:t xml:space="preserve"> działania wpływają na koszty funkcjonowania samorządów, powodując konieczność podnoszenia opłat za śmieci lub dopłacania z własnych środków, niejednokrotnie kosztem realizacji innych zadań.</w:t>
            </w:r>
          </w:p>
          <w:p w14:paraId="455A7027" w14:textId="5502F0DF" w:rsidR="002C5B83" w:rsidRDefault="002C5B83" w:rsidP="002C5B83">
            <w:pPr>
              <w:tabs>
                <w:tab w:val="left" w:pos="234"/>
              </w:tabs>
              <w:spacing w:after="120" w:line="240" w:lineRule="auto"/>
              <w:jc w:val="both"/>
              <w:rPr>
                <w:rFonts w:ascii="Times New Roman" w:hAnsi="Times New Roman"/>
                <w:color w:val="000000"/>
                <w:spacing w:val="-2"/>
              </w:rPr>
            </w:pPr>
            <w:r>
              <w:rPr>
                <w:rFonts w:ascii="Times New Roman" w:hAnsi="Times New Roman"/>
                <w:color w:val="000000"/>
                <w:spacing w:val="-2"/>
              </w:rPr>
              <w:t xml:space="preserve">Rozwój sektora </w:t>
            </w:r>
            <w:proofErr w:type="spellStart"/>
            <w:r>
              <w:rPr>
                <w:rFonts w:ascii="Times New Roman" w:hAnsi="Times New Roman"/>
                <w:color w:val="000000"/>
                <w:spacing w:val="-2"/>
              </w:rPr>
              <w:t>biometanu</w:t>
            </w:r>
            <w:proofErr w:type="spellEnd"/>
            <w:r>
              <w:rPr>
                <w:rFonts w:ascii="Times New Roman" w:hAnsi="Times New Roman"/>
                <w:color w:val="000000"/>
                <w:spacing w:val="-2"/>
              </w:rPr>
              <w:t xml:space="preserve"> powiązany z rozwojem biogazowni stanowi szansę dla wielu jednostek samorządu terytorialnego na obniżenie kosztów gospodarki komunalnej w przypadku zaadresowania odpowiedniego strumienia odpadów ulegających biodegradacji do produkcji </w:t>
            </w:r>
            <w:proofErr w:type="spellStart"/>
            <w:r>
              <w:rPr>
                <w:rFonts w:ascii="Times New Roman" w:hAnsi="Times New Roman"/>
                <w:color w:val="000000"/>
                <w:spacing w:val="-2"/>
              </w:rPr>
              <w:t>biometanu</w:t>
            </w:r>
            <w:proofErr w:type="spellEnd"/>
            <w:r>
              <w:rPr>
                <w:rFonts w:ascii="Times New Roman" w:hAnsi="Times New Roman"/>
                <w:color w:val="000000"/>
                <w:spacing w:val="-2"/>
              </w:rPr>
              <w:t xml:space="preserve">. </w:t>
            </w:r>
          </w:p>
          <w:p w14:paraId="713CB9E1" w14:textId="3F4990C4" w:rsidR="00DB5045" w:rsidRDefault="00DB5045" w:rsidP="00DB5045">
            <w:pPr>
              <w:tabs>
                <w:tab w:val="left" w:pos="234"/>
              </w:tabs>
              <w:spacing w:line="240" w:lineRule="auto"/>
              <w:jc w:val="both"/>
              <w:rPr>
                <w:rFonts w:ascii="Times New Roman" w:hAnsi="Times New Roman"/>
                <w:b/>
                <w:bCs/>
                <w:color w:val="000000"/>
                <w:u w:val="single"/>
              </w:rPr>
            </w:pPr>
            <w:r w:rsidRPr="004B458B">
              <w:rPr>
                <w:rFonts w:ascii="Times New Roman" w:hAnsi="Times New Roman"/>
                <w:b/>
                <w:bCs/>
                <w:color w:val="000000"/>
                <w:u w:val="single"/>
              </w:rPr>
              <w:t>II. Klastry</w:t>
            </w:r>
          </w:p>
          <w:p w14:paraId="688D0DA0" w14:textId="6050A483" w:rsidR="00DB5045" w:rsidRDefault="00F15287" w:rsidP="00AF1C2E">
            <w:pPr>
              <w:tabs>
                <w:tab w:val="left" w:pos="234"/>
              </w:tabs>
              <w:spacing w:after="120" w:line="240" w:lineRule="auto"/>
              <w:jc w:val="both"/>
              <w:rPr>
                <w:rFonts w:ascii="Times New Roman" w:hAnsi="Times New Roman"/>
                <w:szCs w:val="20"/>
              </w:rPr>
            </w:pPr>
            <w:r>
              <w:rPr>
                <w:rFonts w:ascii="Times New Roman" w:hAnsi="Times New Roman"/>
                <w:szCs w:val="20"/>
              </w:rPr>
              <w:t>P</w:t>
            </w:r>
            <w:r w:rsidR="00DB5045">
              <w:rPr>
                <w:rFonts w:ascii="Times New Roman" w:hAnsi="Times New Roman"/>
                <w:szCs w:val="20"/>
              </w:rPr>
              <w:t xml:space="preserve">rojektowane regulacje pozytywnie wpłyną na jednostki samorządu terytorialnego, które należą do klastra (są stronami porozumienia) poprzez </w:t>
            </w:r>
            <w:r>
              <w:rPr>
                <w:rFonts w:ascii="Times New Roman" w:hAnsi="Times New Roman"/>
                <w:szCs w:val="20"/>
              </w:rPr>
              <w:t xml:space="preserve">obligatoryjny udział samorządu w porozumieniu klastra energii, zapewnieniu pozytywnego oddziaływania na lokalną społeczność oraz </w:t>
            </w:r>
            <w:r w:rsidR="00DB5045">
              <w:rPr>
                <w:rFonts w:ascii="Times New Roman" w:hAnsi="Times New Roman"/>
                <w:szCs w:val="20"/>
              </w:rPr>
              <w:t>możliwość obniżenia kosztów związanych z energią elektryczną dzięki proponowanym zachętom do</w:t>
            </w:r>
            <w:r>
              <w:rPr>
                <w:rFonts w:ascii="Times New Roman" w:hAnsi="Times New Roman"/>
                <w:szCs w:val="20"/>
              </w:rPr>
              <w:t xml:space="preserve"> zużycia własnego</w:t>
            </w:r>
            <w:r w:rsidR="004C0172">
              <w:rPr>
                <w:rFonts w:ascii="Times New Roman" w:hAnsi="Times New Roman"/>
                <w:szCs w:val="20"/>
              </w:rPr>
              <w:t xml:space="preserve"> </w:t>
            </w:r>
            <w:r w:rsidR="00DB5045">
              <w:rPr>
                <w:rFonts w:ascii="Times New Roman" w:hAnsi="Times New Roman"/>
                <w:szCs w:val="20"/>
              </w:rPr>
              <w:t xml:space="preserve">oraz </w:t>
            </w:r>
            <w:proofErr w:type="spellStart"/>
            <w:r w:rsidR="00DB5045">
              <w:rPr>
                <w:rFonts w:ascii="Times New Roman" w:hAnsi="Times New Roman"/>
                <w:szCs w:val="20"/>
              </w:rPr>
              <w:t>autobilansowania</w:t>
            </w:r>
            <w:proofErr w:type="spellEnd"/>
            <w:r w:rsidR="00DB5045">
              <w:rPr>
                <w:rFonts w:ascii="Times New Roman" w:hAnsi="Times New Roman"/>
                <w:szCs w:val="20"/>
              </w:rPr>
              <w:t xml:space="preserve">. </w:t>
            </w:r>
          </w:p>
          <w:p w14:paraId="4DB600EB" w14:textId="77777777" w:rsidR="004B458B" w:rsidRDefault="00B60414" w:rsidP="00F97D57">
            <w:pPr>
              <w:tabs>
                <w:tab w:val="left" w:pos="234"/>
              </w:tabs>
              <w:spacing w:after="120" w:line="240" w:lineRule="auto"/>
              <w:jc w:val="both"/>
              <w:rPr>
                <w:rFonts w:ascii="Times New Roman" w:hAnsi="Times New Roman"/>
                <w:szCs w:val="20"/>
              </w:rPr>
            </w:pPr>
            <w:r w:rsidRPr="002A45F6">
              <w:rPr>
                <w:rFonts w:ascii="Times New Roman" w:hAnsi="Times New Roman"/>
                <w:color w:val="000000"/>
                <w:spacing w:val="-2"/>
              </w:rPr>
              <w:t>Stworzenie dodatkowych zachęt do inwestycji w lokalne i rozproszone źródła energii może przyczynić</w:t>
            </w:r>
            <w:r>
              <w:rPr>
                <w:rFonts w:ascii="Times New Roman" w:hAnsi="Times New Roman"/>
                <w:szCs w:val="20"/>
              </w:rPr>
              <w:t xml:space="preserve"> się do rozwoju gospodarki o obiegu zamkniętym na danym obszarze zwiększając przychody samorządów przez wzrost lokalnego zatrudnienia (obsługa źródeł, dostawa paliw), oraz dochody powiązane z inwestycjami oraz opodatkowaniem dochodów i majątku wytwórców energii.</w:t>
            </w:r>
          </w:p>
          <w:p w14:paraId="0F7177B7" w14:textId="3904705D" w:rsidR="00BB0FD8" w:rsidRPr="00D579A1" w:rsidRDefault="002C5B83" w:rsidP="00BB0FD8">
            <w:pPr>
              <w:tabs>
                <w:tab w:val="left" w:pos="234"/>
              </w:tabs>
              <w:spacing w:line="240" w:lineRule="auto"/>
              <w:jc w:val="both"/>
              <w:rPr>
                <w:rFonts w:ascii="Times New Roman" w:hAnsi="Times New Roman"/>
                <w:b/>
                <w:bCs/>
                <w:color w:val="000000"/>
                <w:u w:val="single"/>
              </w:rPr>
            </w:pPr>
            <w:r w:rsidRPr="00D579A1">
              <w:rPr>
                <w:rFonts w:ascii="Times New Roman" w:hAnsi="Times New Roman"/>
                <w:b/>
                <w:bCs/>
                <w:color w:val="000000"/>
                <w:u w:val="single"/>
              </w:rPr>
              <w:t>III.1.</w:t>
            </w:r>
            <w:r w:rsidR="00BB0FD8" w:rsidRPr="00D579A1">
              <w:rPr>
                <w:rFonts w:ascii="Times New Roman" w:hAnsi="Times New Roman"/>
                <w:b/>
                <w:bCs/>
                <w:color w:val="000000"/>
                <w:u w:val="single"/>
              </w:rPr>
              <w:t xml:space="preserve"> Wsparcie dla ciepł</w:t>
            </w:r>
            <w:r w:rsidR="00B22839" w:rsidRPr="00D579A1">
              <w:rPr>
                <w:rFonts w:ascii="Times New Roman" w:hAnsi="Times New Roman"/>
                <w:b/>
                <w:bCs/>
                <w:color w:val="000000"/>
                <w:u w:val="single"/>
              </w:rPr>
              <w:t>ownictwa i chłodnictwa</w:t>
            </w:r>
            <w:r w:rsidR="004C0172">
              <w:rPr>
                <w:rFonts w:ascii="Times New Roman" w:hAnsi="Times New Roman"/>
                <w:b/>
                <w:bCs/>
                <w:color w:val="000000"/>
                <w:u w:val="single"/>
              </w:rPr>
              <w:t xml:space="preserve"> </w:t>
            </w:r>
            <w:r w:rsidR="00BB0FD8" w:rsidRPr="004B458B">
              <w:rPr>
                <w:rFonts w:ascii="Times New Roman" w:hAnsi="Times New Roman"/>
                <w:b/>
                <w:bCs/>
                <w:color w:val="000000"/>
                <w:u w:val="single"/>
              </w:rPr>
              <w:t>z OZE</w:t>
            </w:r>
          </w:p>
          <w:p w14:paraId="0F0A52B8" w14:textId="77777777" w:rsidR="00BB0FD8" w:rsidRPr="00D12317" w:rsidRDefault="00BB0FD8" w:rsidP="00BB0FD8">
            <w:pPr>
              <w:spacing w:line="240" w:lineRule="auto"/>
              <w:rPr>
                <w:rFonts w:ascii="Times New Roman" w:hAnsi="Times New Roman"/>
                <w:b/>
                <w:bCs/>
                <w:color w:val="000000"/>
              </w:rPr>
            </w:pPr>
            <w:r w:rsidRPr="00D12317">
              <w:rPr>
                <w:rFonts w:ascii="Times New Roman" w:hAnsi="Times New Roman"/>
                <w:b/>
                <w:bCs/>
                <w:color w:val="000000"/>
              </w:rPr>
              <w:t>Dochody ogółem</w:t>
            </w:r>
          </w:p>
          <w:p w14:paraId="1A1408E7" w14:textId="77777777"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Budowa nowych, odnawialnych źródeł ciepła generować będzie dodatkowe dochody budżetu państwa m. in. podatku dochodowego, podatku VAT. Z uwagi na różnorodność procesu inwestycyjnego w odniesieniu do różnych typów źródeł ciepła, pominięte zostały dodatkowe przychody budżetu generowane na samym etapie inwestycji (budowy) – uwzględniono jedynie zwiększone dochody na etapie funkcjonowania nowych jednostek.</w:t>
            </w:r>
          </w:p>
          <w:p w14:paraId="0DA65844" w14:textId="5C4C6E9C" w:rsidR="00BB0FD8" w:rsidRPr="00D12317" w:rsidRDefault="00BB0FD8" w:rsidP="00BB0FD8">
            <w:pPr>
              <w:spacing w:line="240" w:lineRule="auto"/>
              <w:jc w:val="both"/>
              <w:rPr>
                <w:rFonts w:ascii="Times New Roman" w:hAnsi="Times New Roman"/>
                <w:b/>
                <w:bCs/>
                <w:color w:val="000000"/>
              </w:rPr>
            </w:pPr>
            <w:r w:rsidRPr="00D12317">
              <w:rPr>
                <w:rFonts w:ascii="Times New Roman" w:hAnsi="Times New Roman"/>
                <w:b/>
                <w:bCs/>
                <w:color w:val="000000"/>
              </w:rPr>
              <w:t>Podatek dochodowy</w:t>
            </w:r>
          </w:p>
          <w:p w14:paraId="4194F415" w14:textId="0EB03F52"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 xml:space="preserve">Dochody budżetu państwa z tytułu podatku dochodowego od osób prawnych i fizycznych nie zostały wykazane w wymiarze ilościowym z uwagi na zróżnicowanie podmiotów korzystających z zaproponowanego mechanizmu wsparcia. Z jednej strony należy zauważyć, iż brak wejścia w życie ustawy będzie skutkował prawdopodobnym pogorszeniem wyniku finansowego przed opodatkowaniem (być może także straty podatkowe) w odniesieniu do przedsiębiorstw </w:t>
            </w:r>
            <w:r w:rsidRPr="00D12317">
              <w:rPr>
                <w:rFonts w:ascii="Times New Roman" w:hAnsi="Times New Roman"/>
                <w:color w:val="000000"/>
              </w:rPr>
              <w:lastRenderedPageBreak/>
              <w:t xml:space="preserve">wytwarzających ciepo, które będą musiały ograniczyć lub zaprzestać </w:t>
            </w:r>
            <w:r w:rsidR="00185236" w:rsidRPr="00D12317">
              <w:rPr>
                <w:rFonts w:ascii="Times New Roman" w:hAnsi="Times New Roman"/>
                <w:color w:val="000000"/>
              </w:rPr>
              <w:t>wytwarzani</w:t>
            </w:r>
            <w:r w:rsidR="00185236">
              <w:rPr>
                <w:rFonts w:ascii="Times New Roman" w:hAnsi="Times New Roman"/>
                <w:color w:val="000000"/>
              </w:rPr>
              <w:t>a</w:t>
            </w:r>
            <w:r w:rsidR="00185236" w:rsidRPr="00D12317">
              <w:rPr>
                <w:rFonts w:ascii="Times New Roman" w:hAnsi="Times New Roman"/>
                <w:color w:val="000000"/>
              </w:rPr>
              <w:t xml:space="preserve"> </w:t>
            </w:r>
            <w:r w:rsidRPr="00D12317">
              <w:rPr>
                <w:rFonts w:ascii="Times New Roman" w:hAnsi="Times New Roman"/>
                <w:color w:val="000000"/>
              </w:rPr>
              <w:t>ciepła ze względu na odłączanie się odbiorców przyłączonych do sieci, którzy znajdą alternatywne sposoby zaopatrzenia w ciepło – bez obciążeń kosztami emisji CO</w:t>
            </w:r>
            <w:r w:rsidRPr="00D12317">
              <w:rPr>
                <w:rFonts w:ascii="Times New Roman" w:hAnsi="Times New Roman"/>
                <w:color w:val="000000"/>
                <w:vertAlign w:val="subscript"/>
              </w:rPr>
              <w:t>2</w:t>
            </w:r>
            <w:r w:rsidRPr="00D12317">
              <w:rPr>
                <w:rFonts w:ascii="Times New Roman" w:hAnsi="Times New Roman"/>
                <w:color w:val="000000"/>
              </w:rPr>
              <w:t xml:space="preserve">. </w:t>
            </w:r>
          </w:p>
          <w:p w14:paraId="0A649922" w14:textId="3A105F73"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Z drugiej strony</w:t>
            </w:r>
            <w:r w:rsidR="00245A3F">
              <w:rPr>
                <w:rFonts w:ascii="Times New Roman" w:hAnsi="Times New Roman"/>
                <w:color w:val="000000"/>
              </w:rPr>
              <w:t>,</w:t>
            </w:r>
            <w:r w:rsidRPr="00D12317">
              <w:rPr>
                <w:rFonts w:ascii="Times New Roman" w:hAnsi="Times New Roman"/>
                <w:color w:val="000000"/>
              </w:rPr>
              <w:t xml:space="preserve"> wprowadzenie proponowanych rozwiązań pozwoli na utrzymanie dotychczasowej pozycji przedsiębiorstw wytwarzających ciepło, a także stymulować będzie inwestycje w nowe odnawialne źródła ciepła, co powinno przyczyniać się do generowania nowej wartości dodanej.</w:t>
            </w:r>
          </w:p>
          <w:p w14:paraId="5053561D" w14:textId="77777777" w:rsidR="00BB0FD8" w:rsidRPr="00D12317" w:rsidRDefault="00BB0FD8" w:rsidP="00BB0FD8">
            <w:pPr>
              <w:spacing w:line="240" w:lineRule="auto"/>
              <w:jc w:val="both"/>
              <w:rPr>
                <w:rFonts w:ascii="Times New Roman" w:hAnsi="Times New Roman"/>
                <w:b/>
                <w:bCs/>
                <w:color w:val="000000"/>
              </w:rPr>
            </w:pPr>
            <w:r w:rsidRPr="00D12317">
              <w:rPr>
                <w:rFonts w:ascii="Times New Roman" w:hAnsi="Times New Roman"/>
                <w:b/>
                <w:bCs/>
                <w:color w:val="000000"/>
              </w:rPr>
              <w:t>Podatek VAT</w:t>
            </w:r>
          </w:p>
          <w:p w14:paraId="281B692F" w14:textId="77777777" w:rsidR="00BB0FD8" w:rsidRPr="00D12317" w:rsidRDefault="00BB0FD8" w:rsidP="00BB0FD8">
            <w:pPr>
              <w:spacing w:after="120" w:line="240" w:lineRule="auto"/>
              <w:jc w:val="both"/>
              <w:rPr>
                <w:rFonts w:ascii="Times New Roman" w:hAnsi="Times New Roman"/>
                <w:color w:val="000000"/>
              </w:rPr>
            </w:pPr>
            <w:r w:rsidRPr="00D12317">
              <w:rPr>
                <w:rFonts w:ascii="Times New Roman" w:hAnsi="Times New Roman"/>
                <w:color w:val="000000"/>
              </w:rPr>
              <w:t>Dochody budżetu państwa z tytułu podatku VAT nie zostały wykazane w wymiarze ilościowym, ponieważ ze względu na zróżnicowaną strukturę podmiotów, do których sprzedawane będzie ciepło z nowych źródeł (Wspólnoty Mieszkaniowe, Spółdzielnie Mieszkaniowe, gospodarstwa domowe wolnostojących domach, Towarzystwa Budownictwa Społecznego) nie jest możliwe precyzyjne wskazanie, jaka część płaconego podatku VAT od sprzedaży ciepła będzie stanowiła dochód budżetu państwa. Niemniej jednak spodziewany jest utrzymanie stałego dochód budżetu państwa z tego tytułu.</w:t>
            </w:r>
          </w:p>
          <w:p w14:paraId="7B23C83B" w14:textId="77777777" w:rsidR="005C62BE" w:rsidRPr="00D12317" w:rsidRDefault="005C62BE" w:rsidP="005C62BE">
            <w:pPr>
              <w:spacing w:line="240" w:lineRule="auto"/>
              <w:jc w:val="both"/>
              <w:rPr>
                <w:rFonts w:ascii="Times New Roman" w:hAnsi="Times New Roman"/>
                <w:b/>
                <w:szCs w:val="20"/>
              </w:rPr>
            </w:pPr>
            <w:r w:rsidRPr="00D12317">
              <w:rPr>
                <w:rFonts w:ascii="Times New Roman" w:hAnsi="Times New Roman"/>
                <w:b/>
                <w:szCs w:val="20"/>
              </w:rPr>
              <w:t>Inne</w:t>
            </w:r>
          </w:p>
          <w:p w14:paraId="26C5754C" w14:textId="77777777" w:rsidR="005C62BE" w:rsidRDefault="005C62BE" w:rsidP="005C62BE">
            <w:pPr>
              <w:spacing w:line="240" w:lineRule="auto"/>
              <w:jc w:val="both"/>
              <w:rPr>
                <w:rFonts w:ascii="Times New Roman" w:hAnsi="Times New Roman"/>
                <w:color w:val="000000"/>
                <w:sz w:val="20"/>
                <w:szCs w:val="20"/>
              </w:rPr>
            </w:pPr>
            <w:r w:rsidRPr="00D12317">
              <w:rPr>
                <w:rFonts w:ascii="Times New Roman" w:hAnsi="Times New Roman"/>
                <w:szCs w:val="20"/>
              </w:rPr>
              <w:t>W odniesieniu do wpływów Narodowego Funduszu Ochrony Środowiska i Gospodarki Wodnej z tytułu gromadzenia środków do rozdysponowania należy szacować te wpływy na 414 809 zł rocznie.</w:t>
            </w:r>
            <w:r w:rsidRPr="00D12317">
              <w:rPr>
                <w:rFonts w:ascii="Times New Roman" w:hAnsi="Times New Roman"/>
                <w:color w:val="000000"/>
                <w:sz w:val="20"/>
                <w:szCs w:val="20"/>
              </w:rPr>
              <w:t xml:space="preserve"> </w:t>
            </w:r>
          </w:p>
          <w:p w14:paraId="57A7FFB4" w14:textId="77777777" w:rsidR="008534C0" w:rsidRDefault="008534C0" w:rsidP="002C5B83">
            <w:pPr>
              <w:spacing w:line="240" w:lineRule="auto"/>
              <w:jc w:val="both"/>
              <w:rPr>
                <w:rFonts w:ascii="Times New Roman" w:hAnsi="Times New Roman"/>
                <w:b/>
                <w:bCs/>
                <w:color w:val="000000"/>
                <w:u w:val="single"/>
              </w:rPr>
            </w:pPr>
          </w:p>
          <w:p w14:paraId="2867247E" w14:textId="25D0D5D4" w:rsidR="00272ADE" w:rsidRPr="004B458B" w:rsidRDefault="002C5B83" w:rsidP="002C5B83">
            <w:pPr>
              <w:spacing w:line="240" w:lineRule="auto"/>
              <w:jc w:val="both"/>
              <w:rPr>
                <w:rFonts w:ascii="Times New Roman" w:hAnsi="Times New Roman"/>
                <w:b/>
                <w:bCs/>
                <w:color w:val="000000"/>
                <w:u w:val="single"/>
              </w:rPr>
            </w:pPr>
            <w:r w:rsidRPr="009E525D">
              <w:rPr>
                <w:rFonts w:ascii="Times New Roman" w:hAnsi="Times New Roman"/>
                <w:b/>
                <w:bCs/>
                <w:color w:val="000000"/>
                <w:u w:val="single"/>
              </w:rPr>
              <w:t xml:space="preserve">IV. </w:t>
            </w:r>
            <w:r w:rsidRPr="004B458B">
              <w:rPr>
                <w:rFonts w:ascii="Times New Roman" w:hAnsi="Times New Roman"/>
                <w:b/>
                <w:bCs/>
                <w:color w:val="000000"/>
                <w:u w:val="single"/>
              </w:rPr>
              <w:t>Modernizacja</w:t>
            </w:r>
            <w:r w:rsidR="00272ADE" w:rsidRPr="004B458B">
              <w:rPr>
                <w:rFonts w:ascii="Times New Roman" w:hAnsi="Times New Roman"/>
                <w:b/>
                <w:bCs/>
                <w:color w:val="000000"/>
                <w:u w:val="single"/>
              </w:rPr>
              <w:t xml:space="preserve"> instalacji OZE</w:t>
            </w:r>
          </w:p>
          <w:p w14:paraId="2BC7D53A" w14:textId="05501BF6" w:rsidR="002C5B83" w:rsidRPr="00D579A1" w:rsidRDefault="00272ADE" w:rsidP="005C62BE">
            <w:pPr>
              <w:spacing w:line="240" w:lineRule="auto"/>
              <w:jc w:val="both"/>
              <w:rPr>
                <w:rFonts w:ascii="Times New Roman" w:hAnsi="Times New Roman"/>
                <w:b/>
                <w:bCs/>
                <w:color w:val="000000"/>
                <w:sz w:val="20"/>
                <w:szCs w:val="20"/>
                <w:u w:val="single"/>
              </w:rPr>
            </w:pPr>
            <w:r w:rsidRPr="004B458B">
              <w:rPr>
                <w:rFonts w:ascii="Times New Roman" w:hAnsi="Times New Roman"/>
                <w:b/>
                <w:bCs/>
                <w:color w:val="000000"/>
                <w:u w:val="single"/>
              </w:rPr>
              <w:t>V. Wsparcie</w:t>
            </w:r>
            <w:r w:rsidRPr="00D579A1">
              <w:rPr>
                <w:rFonts w:ascii="Times New Roman" w:hAnsi="Times New Roman"/>
                <w:b/>
                <w:bCs/>
                <w:color w:val="000000"/>
                <w:u w:val="single"/>
              </w:rPr>
              <w:t xml:space="preserve"> operacyjne </w:t>
            </w:r>
          </w:p>
          <w:p w14:paraId="2C4BD2F6" w14:textId="10C42683" w:rsidR="002C5B83" w:rsidRDefault="002C5B83" w:rsidP="0070169A">
            <w:pPr>
              <w:spacing w:after="120" w:line="240" w:lineRule="auto"/>
              <w:jc w:val="both"/>
              <w:rPr>
                <w:rFonts w:ascii="Times New Roman" w:hAnsi="Times New Roman"/>
                <w:color w:val="000000"/>
              </w:rPr>
            </w:pPr>
            <w:r w:rsidRPr="00AC36C8">
              <w:rPr>
                <w:rFonts w:ascii="Times New Roman" w:hAnsi="Times New Roman"/>
                <w:color w:val="000000"/>
              </w:rPr>
              <w:t>Planowan</w:t>
            </w:r>
            <w:r w:rsidR="00464DD6">
              <w:rPr>
                <w:rFonts w:ascii="Times New Roman" w:hAnsi="Times New Roman"/>
                <w:color w:val="000000"/>
              </w:rPr>
              <w:t>e</w:t>
            </w:r>
            <w:r w:rsidRPr="00AC36C8">
              <w:rPr>
                <w:rFonts w:ascii="Times New Roman" w:hAnsi="Times New Roman"/>
                <w:color w:val="000000"/>
              </w:rPr>
              <w:t xml:space="preserve"> system</w:t>
            </w:r>
            <w:r w:rsidR="00464DD6">
              <w:rPr>
                <w:rFonts w:ascii="Times New Roman" w:hAnsi="Times New Roman"/>
                <w:color w:val="000000"/>
              </w:rPr>
              <w:t>y</w:t>
            </w:r>
            <w:r w:rsidRPr="00AC36C8">
              <w:rPr>
                <w:rFonts w:ascii="Times New Roman" w:hAnsi="Times New Roman"/>
                <w:color w:val="000000"/>
              </w:rPr>
              <w:t xml:space="preserve"> wsparcia dla instalacji modernizowanych </w:t>
            </w:r>
            <w:r w:rsidRPr="004B458B">
              <w:rPr>
                <w:rFonts w:ascii="Times New Roman" w:hAnsi="Times New Roman"/>
                <w:color w:val="000000"/>
              </w:rPr>
              <w:t xml:space="preserve">oraz wsparcia </w:t>
            </w:r>
            <w:r w:rsidR="00012E65">
              <w:rPr>
                <w:rFonts w:ascii="Times New Roman" w:hAnsi="Times New Roman"/>
                <w:color w:val="000000"/>
              </w:rPr>
              <w:t>operacyjnego</w:t>
            </w:r>
            <w:r w:rsidR="00012E65" w:rsidRPr="004B458B">
              <w:rPr>
                <w:rFonts w:ascii="Times New Roman" w:hAnsi="Times New Roman"/>
                <w:color w:val="000000"/>
              </w:rPr>
              <w:t xml:space="preserve"> </w:t>
            </w:r>
            <w:r w:rsidR="00464DD6" w:rsidRPr="004B458B">
              <w:rPr>
                <w:rFonts w:ascii="Times New Roman" w:hAnsi="Times New Roman"/>
                <w:color w:val="000000"/>
              </w:rPr>
              <w:t>(</w:t>
            </w:r>
            <w:r w:rsidRPr="004B458B">
              <w:rPr>
                <w:rFonts w:ascii="Times New Roman" w:hAnsi="Times New Roman"/>
                <w:color w:val="000000"/>
              </w:rPr>
              <w:t>operacyjnego</w:t>
            </w:r>
            <w:r w:rsidR="00464DD6">
              <w:rPr>
                <w:rFonts w:ascii="Times New Roman" w:hAnsi="Times New Roman"/>
                <w:color w:val="000000"/>
              </w:rPr>
              <w:t>)</w:t>
            </w:r>
            <w:r w:rsidRPr="00AC36C8">
              <w:rPr>
                <w:rFonts w:ascii="Times New Roman" w:hAnsi="Times New Roman"/>
                <w:color w:val="000000"/>
              </w:rPr>
              <w:t xml:space="preserve"> zakłada</w:t>
            </w:r>
            <w:r w:rsidR="00464DD6">
              <w:rPr>
                <w:rFonts w:ascii="Times New Roman" w:hAnsi="Times New Roman"/>
                <w:color w:val="000000"/>
              </w:rPr>
              <w:t>ją</w:t>
            </w:r>
            <w:r w:rsidRPr="00AC36C8">
              <w:rPr>
                <w:rFonts w:ascii="Times New Roman" w:hAnsi="Times New Roman"/>
                <w:color w:val="000000"/>
              </w:rPr>
              <w:t xml:space="preserve"> wykorzystanie </w:t>
            </w:r>
            <w:r w:rsidR="0070169A">
              <w:rPr>
                <w:rFonts w:ascii="Times New Roman" w:hAnsi="Times New Roman"/>
                <w:color w:val="000000"/>
              </w:rPr>
              <w:t xml:space="preserve">różnych modeli wsparcia – z uwzględnieniem interesów wytwórców a także </w:t>
            </w:r>
            <w:r w:rsidRPr="006D1CFE">
              <w:rPr>
                <w:rFonts w:ascii="Times New Roman" w:hAnsi="Times New Roman"/>
                <w:color w:val="000000"/>
              </w:rPr>
              <w:t>efektywn</w:t>
            </w:r>
            <w:r w:rsidR="0070169A">
              <w:rPr>
                <w:rFonts w:ascii="Times New Roman" w:hAnsi="Times New Roman"/>
                <w:color w:val="000000"/>
              </w:rPr>
              <w:t>ości</w:t>
            </w:r>
            <w:r w:rsidRPr="006D1CFE">
              <w:rPr>
                <w:rFonts w:ascii="Times New Roman" w:hAnsi="Times New Roman"/>
                <w:color w:val="000000"/>
              </w:rPr>
              <w:t xml:space="preserve"> kosztow</w:t>
            </w:r>
            <w:r w:rsidR="0070169A">
              <w:rPr>
                <w:rFonts w:ascii="Times New Roman" w:hAnsi="Times New Roman"/>
                <w:color w:val="000000"/>
              </w:rPr>
              <w:t>ej</w:t>
            </w:r>
            <w:r w:rsidRPr="006D1CFE">
              <w:rPr>
                <w:rFonts w:ascii="Times New Roman" w:hAnsi="Times New Roman"/>
                <w:color w:val="000000"/>
              </w:rPr>
              <w:t xml:space="preserve"> z punktu widzenia interesu państwa i </w:t>
            </w:r>
            <w:r w:rsidRPr="00AC36C8">
              <w:rPr>
                <w:rFonts w:ascii="Times New Roman" w:hAnsi="Times New Roman"/>
                <w:color w:val="000000"/>
              </w:rPr>
              <w:t xml:space="preserve">ciężarów ponoszonych przez odbiorców energii. </w:t>
            </w:r>
          </w:p>
          <w:p w14:paraId="4F9AC54B" w14:textId="38B045CC" w:rsidR="00A31748" w:rsidRDefault="00DB5045" w:rsidP="005C62BE">
            <w:pPr>
              <w:spacing w:after="120" w:line="240" w:lineRule="auto"/>
              <w:jc w:val="both"/>
              <w:rPr>
                <w:rFonts w:ascii="Times New Roman" w:hAnsi="Times New Roman"/>
                <w:color w:val="000000"/>
              </w:rPr>
            </w:pPr>
            <w:r>
              <w:rPr>
                <w:rFonts w:ascii="Times New Roman" w:hAnsi="Times New Roman"/>
                <w:color w:val="000000"/>
              </w:rPr>
              <w:t xml:space="preserve">Nowe inwestycje w modernizowane instalacje, podobnie jak w przypadku </w:t>
            </w:r>
            <w:r w:rsidR="00B12D05">
              <w:rPr>
                <w:rFonts w:ascii="Times New Roman" w:hAnsi="Times New Roman"/>
                <w:color w:val="000000"/>
              </w:rPr>
              <w:t xml:space="preserve">inwestycje w sektorze ciepłownictwa i chłodnictwa będą stanowić pozytywny impuls rozwojowy </w:t>
            </w:r>
            <w:r w:rsidR="002C45EC">
              <w:rPr>
                <w:rFonts w:ascii="Times New Roman" w:hAnsi="Times New Roman"/>
                <w:color w:val="000000"/>
              </w:rPr>
              <w:t xml:space="preserve">i zwiększenie dochodów budżetu państwa. </w:t>
            </w:r>
          </w:p>
          <w:p w14:paraId="54C28B41" w14:textId="598DCDFB" w:rsidR="000B625F" w:rsidRPr="004B458B" w:rsidRDefault="002C45EC" w:rsidP="005C62BE">
            <w:pPr>
              <w:spacing w:after="120" w:line="240" w:lineRule="auto"/>
              <w:jc w:val="both"/>
              <w:rPr>
                <w:rStyle w:val="markedcontent"/>
                <w:rFonts w:ascii="Times New Roman" w:hAnsi="Times New Roman"/>
              </w:rPr>
            </w:pPr>
            <w:r w:rsidRPr="004B458B">
              <w:rPr>
                <w:rStyle w:val="markedcontent"/>
                <w:rFonts w:ascii="Times New Roman" w:hAnsi="Times New Roman"/>
              </w:rPr>
              <w:t>Po st</w:t>
            </w:r>
            <w:r w:rsidR="00AF1C2E">
              <w:rPr>
                <w:rStyle w:val="markedcontent"/>
                <w:rFonts w:ascii="Times New Roman" w:hAnsi="Times New Roman"/>
              </w:rPr>
              <w:t>r</w:t>
            </w:r>
            <w:r w:rsidRPr="004B458B">
              <w:rPr>
                <w:rStyle w:val="markedcontent"/>
                <w:rFonts w:ascii="Times New Roman" w:hAnsi="Times New Roman"/>
              </w:rPr>
              <w:t>onie wydatkowej, w</w:t>
            </w:r>
            <w:r w:rsidR="00A31748" w:rsidRPr="004B458B">
              <w:rPr>
                <w:rStyle w:val="markedcontent"/>
                <w:rFonts w:ascii="Times New Roman" w:hAnsi="Times New Roman"/>
              </w:rPr>
              <w:t xml:space="preserve"> związku z faktem, iż planowan</w:t>
            </w:r>
            <w:r w:rsidRPr="004B458B">
              <w:rPr>
                <w:rStyle w:val="markedcontent"/>
                <w:rFonts w:ascii="Times New Roman" w:hAnsi="Times New Roman"/>
              </w:rPr>
              <w:t>e</w:t>
            </w:r>
            <w:r w:rsidR="00A31748" w:rsidRPr="004B458B">
              <w:rPr>
                <w:rStyle w:val="markedcontent"/>
                <w:rFonts w:ascii="Times New Roman" w:hAnsi="Times New Roman"/>
              </w:rPr>
              <w:t xml:space="preserve"> system</w:t>
            </w:r>
            <w:r w:rsidRPr="004B458B">
              <w:rPr>
                <w:rStyle w:val="markedcontent"/>
                <w:rFonts w:ascii="Times New Roman" w:hAnsi="Times New Roman"/>
              </w:rPr>
              <w:t>y</w:t>
            </w:r>
            <w:r w:rsidR="00A31748" w:rsidRPr="004B458B">
              <w:rPr>
                <w:rStyle w:val="markedcontent"/>
                <w:rFonts w:ascii="Times New Roman" w:hAnsi="Times New Roman"/>
              </w:rPr>
              <w:t xml:space="preserve"> wsparcia będ</w:t>
            </w:r>
            <w:r w:rsidRPr="004B458B">
              <w:rPr>
                <w:rStyle w:val="markedcontent"/>
                <w:rFonts w:ascii="Times New Roman" w:hAnsi="Times New Roman"/>
              </w:rPr>
              <w:t xml:space="preserve">ą dotyczyć podobnych podmiotów i </w:t>
            </w:r>
            <w:r w:rsidR="00A31748" w:rsidRPr="004B458B">
              <w:rPr>
                <w:rStyle w:val="markedcontent"/>
                <w:rFonts w:ascii="Times New Roman" w:hAnsi="Times New Roman"/>
              </w:rPr>
              <w:t>opiera</w:t>
            </w:r>
            <w:r w:rsidRPr="004B458B">
              <w:rPr>
                <w:rStyle w:val="markedcontent"/>
                <w:rFonts w:ascii="Times New Roman" w:hAnsi="Times New Roman"/>
              </w:rPr>
              <w:t>ć</w:t>
            </w:r>
            <w:r w:rsidR="00A31748" w:rsidRPr="004B458B">
              <w:rPr>
                <w:rStyle w:val="markedcontent"/>
                <w:rFonts w:ascii="Times New Roman" w:hAnsi="Times New Roman"/>
              </w:rPr>
              <w:t xml:space="preserve"> się na podobnych założeniach co </w:t>
            </w:r>
            <w:r w:rsidRPr="004B458B">
              <w:rPr>
                <w:rStyle w:val="markedcontent"/>
                <w:rFonts w:ascii="Times New Roman" w:hAnsi="Times New Roman"/>
              </w:rPr>
              <w:t xml:space="preserve">istniejące </w:t>
            </w:r>
            <w:r w:rsidR="00A31748" w:rsidRPr="004B458B">
              <w:rPr>
                <w:rStyle w:val="markedcontent"/>
                <w:rFonts w:ascii="Times New Roman" w:hAnsi="Times New Roman"/>
              </w:rPr>
              <w:t>system</w:t>
            </w:r>
            <w:r w:rsidR="000B625F" w:rsidRPr="004B458B">
              <w:rPr>
                <w:rStyle w:val="markedcontent"/>
                <w:rFonts w:ascii="Times New Roman" w:hAnsi="Times New Roman"/>
              </w:rPr>
              <w:t>y</w:t>
            </w:r>
            <w:r w:rsidR="00A31748" w:rsidRPr="004B458B">
              <w:rPr>
                <w:rStyle w:val="markedcontent"/>
                <w:rFonts w:ascii="Times New Roman" w:hAnsi="Times New Roman"/>
              </w:rPr>
              <w:t xml:space="preserve"> wsparcia odnawialnych źródeł energii (</w:t>
            </w:r>
            <w:r w:rsidR="000B625F" w:rsidRPr="004B458B">
              <w:rPr>
                <w:rStyle w:val="markedcontent"/>
                <w:rFonts w:ascii="Times New Roman" w:hAnsi="Times New Roman"/>
              </w:rPr>
              <w:t xml:space="preserve">w szczególności </w:t>
            </w:r>
            <w:r w:rsidR="00A31748" w:rsidRPr="004B458B">
              <w:rPr>
                <w:rStyle w:val="markedcontent"/>
                <w:rFonts w:ascii="Times New Roman" w:hAnsi="Times New Roman"/>
              </w:rPr>
              <w:t>model aukcyjny), należy spodziewać się, że administracyjne koszty jego funkcjonowania również będą zbliżone, co do struktury. Powyższe odnosi się do kosztów przygotowania i zarządzania systemem informatycznym oraz kosztów obsługi tego mechanizmu wsparcia (koszty osobowe ponoszone przez Urząd Regulacji Energetyki</w:t>
            </w:r>
            <w:r w:rsidR="000B625F" w:rsidRPr="004B458B">
              <w:rPr>
                <w:rStyle w:val="markedcontent"/>
                <w:rFonts w:ascii="Times New Roman" w:hAnsi="Times New Roman"/>
              </w:rPr>
              <w:t xml:space="preserve"> wymienione powyżej</w:t>
            </w:r>
            <w:r w:rsidR="00A31748" w:rsidRPr="004B458B">
              <w:rPr>
                <w:rStyle w:val="markedcontent"/>
                <w:rFonts w:ascii="Times New Roman" w:hAnsi="Times New Roman"/>
              </w:rPr>
              <w:t xml:space="preserve">). </w:t>
            </w:r>
          </w:p>
          <w:p w14:paraId="3DB8586E" w14:textId="200DB45E" w:rsidR="00FA2281" w:rsidRDefault="00A31748" w:rsidP="002C5B83">
            <w:pPr>
              <w:spacing w:after="120" w:line="240" w:lineRule="auto"/>
              <w:jc w:val="both"/>
              <w:rPr>
                <w:rFonts w:ascii="Times New Roman" w:hAnsi="Times New Roman"/>
                <w:color w:val="000000"/>
              </w:rPr>
            </w:pPr>
            <w:r w:rsidRPr="004B458B">
              <w:rPr>
                <w:rStyle w:val="markedcontent"/>
                <w:rFonts w:ascii="Times New Roman" w:hAnsi="Times New Roman"/>
              </w:rPr>
              <w:t>W odniesieniu do kosztów osobowych administrowania nowym systemem wsparcia, na chwilę obecną zakłada się</w:t>
            </w:r>
            <w:r w:rsidR="00C16BE9" w:rsidRPr="004B458B">
              <w:rPr>
                <w:rStyle w:val="markedcontent"/>
                <w:rFonts w:ascii="Times New Roman" w:hAnsi="Times New Roman"/>
              </w:rPr>
              <w:t>,</w:t>
            </w:r>
            <w:r w:rsidRPr="004B458B">
              <w:rPr>
                <w:rStyle w:val="markedcontent"/>
                <w:rFonts w:ascii="Times New Roman" w:hAnsi="Times New Roman"/>
              </w:rPr>
              <w:t xml:space="preserve"> że nałożenie nowych zadań wynikających z obsługi nowego systemu będzie skorelowane w czasie z likwidacją zadań związanych z obsługą </w:t>
            </w:r>
            <w:r w:rsidR="00C16BE9" w:rsidRPr="004B458B">
              <w:rPr>
                <w:rStyle w:val="markedcontent"/>
                <w:rFonts w:ascii="Times New Roman" w:hAnsi="Times New Roman"/>
              </w:rPr>
              <w:t xml:space="preserve">obecnego </w:t>
            </w:r>
            <w:r w:rsidRPr="004B458B">
              <w:rPr>
                <w:rStyle w:val="markedcontent"/>
                <w:rFonts w:ascii="Times New Roman" w:hAnsi="Times New Roman"/>
              </w:rPr>
              <w:t xml:space="preserve">mechanizmu wsparcia. </w:t>
            </w:r>
            <w:r w:rsidR="00FA2281">
              <w:rPr>
                <w:rFonts w:ascii="Times New Roman" w:hAnsi="Times New Roman"/>
                <w:color w:val="000000"/>
              </w:rPr>
              <w:t xml:space="preserve">Niemniej jednak należy w tym miejscu zauważyć, że </w:t>
            </w:r>
            <w:r w:rsidR="007C6D0B">
              <w:rPr>
                <w:rFonts w:ascii="Times New Roman" w:hAnsi="Times New Roman"/>
                <w:color w:val="000000"/>
              </w:rPr>
              <w:t xml:space="preserve">sam </w:t>
            </w:r>
            <w:r w:rsidR="00FA2281">
              <w:rPr>
                <w:rFonts w:ascii="Times New Roman" w:hAnsi="Times New Roman"/>
                <w:color w:val="000000"/>
              </w:rPr>
              <w:t xml:space="preserve">koszt </w:t>
            </w:r>
            <w:r w:rsidR="007C6D0B">
              <w:rPr>
                <w:rFonts w:ascii="Times New Roman" w:hAnsi="Times New Roman"/>
                <w:color w:val="000000"/>
              </w:rPr>
              <w:t xml:space="preserve">udzielanego wsparcia </w:t>
            </w:r>
            <w:r w:rsidR="00FA2281">
              <w:rPr>
                <w:rFonts w:ascii="Times New Roman" w:hAnsi="Times New Roman"/>
                <w:color w:val="000000"/>
              </w:rPr>
              <w:t xml:space="preserve">będzie zależny w znakomitej większości od giełdowej ceny energii, na którą w dużej </w:t>
            </w:r>
            <w:r w:rsidR="004E2ABD">
              <w:rPr>
                <w:rFonts w:ascii="Times New Roman" w:hAnsi="Times New Roman"/>
                <w:color w:val="000000"/>
              </w:rPr>
              <w:t>mierze wpływa koszt emisji CO</w:t>
            </w:r>
            <w:r w:rsidR="004E2ABD" w:rsidRPr="00611BCB">
              <w:rPr>
                <w:rFonts w:ascii="Times New Roman" w:hAnsi="Times New Roman"/>
                <w:color w:val="000000"/>
                <w:vertAlign w:val="subscript"/>
              </w:rPr>
              <w:t>2</w:t>
            </w:r>
            <w:r w:rsidR="004E2ABD">
              <w:rPr>
                <w:rFonts w:ascii="Times New Roman" w:hAnsi="Times New Roman"/>
                <w:color w:val="000000"/>
              </w:rPr>
              <w:t xml:space="preserve"> </w:t>
            </w:r>
            <w:r w:rsidR="007C6D0B">
              <w:rPr>
                <w:rFonts w:ascii="Times New Roman" w:hAnsi="Times New Roman"/>
                <w:color w:val="000000"/>
              </w:rPr>
              <w:t xml:space="preserve">czyli </w:t>
            </w:r>
            <w:r w:rsidR="004E2ABD">
              <w:rPr>
                <w:rFonts w:ascii="Times New Roman" w:hAnsi="Times New Roman"/>
                <w:color w:val="000000"/>
              </w:rPr>
              <w:t xml:space="preserve">uprawnień w systemie </w:t>
            </w:r>
            <w:r w:rsidR="007C6D0B">
              <w:rPr>
                <w:rFonts w:ascii="Times New Roman" w:hAnsi="Times New Roman"/>
                <w:color w:val="000000"/>
              </w:rPr>
              <w:t>EU-</w:t>
            </w:r>
            <w:r w:rsidR="004E2ABD">
              <w:rPr>
                <w:rFonts w:ascii="Times New Roman" w:hAnsi="Times New Roman"/>
                <w:color w:val="000000"/>
              </w:rPr>
              <w:t xml:space="preserve">ETS. Zatem, w przypadku utrzymującego się trendu wzrostowego </w:t>
            </w:r>
            <w:r w:rsidR="007C6D0B">
              <w:rPr>
                <w:rFonts w:ascii="Times New Roman" w:hAnsi="Times New Roman"/>
                <w:color w:val="000000"/>
              </w:rPr>
              <w:t xml:space="preserve">cen energii </w:t>
            </w:r>
            <w:r w:rsidR="004E2ABD">
              <w:rPr>
                <w:rFonts w:ascii="Times New Roman" w:hAnsi="Times New Roman"/>
                <w:color w:val="000000"/>
              </w:rPr>
              <w:t xml:space="preserve">w kolejnych latach, można założyć, że koszty ww. systemów wsparcia będą </w:t>
            </w:r>
            <w:r w:rsidR="007C6D0B">
              <w:rPr>
                <w:rFonts w:ascii="Times New Roman" w:hAnsi="Times New Roman"/>
                <w:color w:val="000000"/>
              </w:rPr>
              <w:t xml:space="preserve">coraz </w:t>
            </w:r>
            <w:r w:rsidR="004E2ABD">
              <w:rPr>
                <w:rFonts w:ascii="Times New Roman" w:hAnsi="Times New Roman"/>
                <w:color w:val="000000"/>
              </w:rPr>
              <w:t>niższe.</w:t>
            </w:r>
          </w:p>
          <w:p w14:paraId="3D445B64" w14:textId="00E31EF1" w:rsidR="004E2ABD" w:rsidRDefault="004E2ABD" w:rsidP="002C5B83">
            <w:pPr>
              <w:spacing w:after="120" w:line="240" w:lineRule="auto"/>
              <w:jc w:val="both"/>
              <w:rPr>
                <w:rFonts w:ascii="Times New Roman" w:hAnsi="Times New Roman"/>
                <w:color w:val="000000"/>
              </w:rPr>
            </w:pPr>
            <w:r>
              <w:rPr>
                <w:rFonts w:ascii="Times New Roman" w:hAnsi="Times New Roman"/>
                <w:color w:val="000000"/>
              </w:rPr>
              <w:t xml:space="preserve">Trzeba także podkreślić, że alternatywą dla systemu modernizacja lub wsparcia </w:t>
            </w:r>
            <w:r w:rsidR="00B16BC7">
              <w:rPr>
                <w:rFonts w:ascii="Times New Roman" w:hAnsi="Times New Roman"/>
                <w:color w:val="000000"/>
              </w:rPr>
              <w:t>operacyjnego</w:t>
            </w:r>
            <w:r w:rsidR="00012E65">
              <w:rPr>
                <w:rFonts w:ascii="Times New Roman" w:hAnsi="Times New Roman"/>
                <w:color w:val="000000"/>
              </w:rPr>
              <w:t xml:space="preserve"> </w:t>
            </w:r>
            <w:r>
              <w:rPr>
                <w:rFonts w:ascii="Times New Roman" w:hAnsi="Times New Roman"/>
                <w:color w:val="000000"/>
              </w:rPr>
              <w:t xml:space="preserve">jest budowa nowych instalacji OZE w pełnej </w:t>
            </w:r>
            <w:r w:rsidR="00135B26">
              <w:rPr>
                <w:rFonts w:ascii="Times New Roman" w:hAnsi="Times New Roman"/>
                <w:color w:val="000000"/>
              </w:rPr>
              <w:t>wysokości jej wyceny rynkowej</w:t>
            </w:r>
            <w:r w:rsidR="00B16BC7">
              <w:rPr>
                <w:rFonts w:ascii="Times New Roman" w:hAnsi="Times New Roman"/>
                <w:color w:val="000000"/>
              </w:rPr>
              <w:t>,</w:t>
            </w:r>
            <w:r w:rsidR="00135B26">
              <w:rPr>
                <w:rFonts w:ascii="Times New Roman" w:hAnsi="Times New Roman"/>
                <w:color w:val="000000"/>
              </w:rPr>
              <w:t xml:space="preserve"> co jest rozwiązaniem </w:t>
            </w:r>
            <w:r w:rsidR="007C6D0B">
              <w:rPr>
                <w:rFonts w:ascii="Times New Roman" w:hAnsi="Times New Roman"/>
                <w:color w:val="000000"/>
              </w:rPr>
              <w:t>znacząco</w:t>
            </w:r>
            <w:r w:rsidR="00135B26">
              <w:rPr>
                <w:rFonts w:ascii="Times New Roman" w:hAnsi="Times New Roman"/>
                <w:color w:val="000000"/>
              </w:rPr>
              <w:t xml:space="preserve"> droższym i mniej korzystnym dla </w:t>
            </w:r>
            <w:r w:rsidR="007C6D0B">
              <w:rPr>
                <w:rFonts w:ascii="Times New Roman" w:hAnsi="Times New Roman"/>
                <w:color w:val="000000"/>
              </w:rPr>
              <w:t xml:space="preserve">kosztów ponoszonych przez </w:t>
            </w:r>
            <w:r w:rsidR="00135B26">
              <w:rPr>
                <w:rFonts w:ascii="Times New Roman" w:hAnsi="Times New Roman"/>
                <w:color w:val="000000"/>
              </w:rPr>
              <w:t xml:space="preserve">konsumenta. </w:t>
            </w:r>
          </w:p>
          <w:p w14:paraId="622453EC" w14:textId="680B01FE" w:rsidR="006C01DB" w:rsidRPr="00AF1C2E" w:rsidRDefault="006C01DB" w:rsidP="006C01DB">
            <w:pPr>
              <w:spacing w:before="120" w:after="120" w:line="240" w:lineRule="auto"/>
              <w:jc w:val="both"/>
              <w:rPr>
                <w:rFonts w:ascii="Times New Roman" w:hAnsi="Times New Roman"/>
                <w:b/>
                <w:bCs/>
                <w:color w:val="000000"/>
                <w:spacing w:val="-2"/>
              </w:rPr>
            </w:pPr>
            <w:r>
              <w:rPr>
                <w:rFonts w:ascii="Times New Roman" w:hAnsi="Times New Roman"/>
                <w:b/>
                <w:bCs/>
                <w:color w:val="000000"/>
                <w:spacing w:val="-2"/>
              </w:rPr>
              <w:t xml:space="preserve">Innym założeniem przyjętym na potrzeby oszacowania kosztów jest podział w stosunku 50% do 50% między instalacjami wchodzącymi do systemu modernizacji oraz </w:t>
            </w:r>
            <w:r w:rsidR="00012E65">
              <w:rPr>
                <w:rFonts w:ascii="Times New Roman" w:hAnsi="Times New Roman"/>
                <w:b/>
                <w:bCs/>
                <w:color w:val="000000"/>
                <w:spacing w:val="-2"/>
              </w:rPr>
              <w:t xml:space="preserve">operacyjnego </w:t>
            </w:r>
            <w:r>
              <w:rPr>
                <w:rFonts w:ascii="Times New Roman" w:hAnsi="Times New Roman"/>
                <w:b/>
                <w:bCs/>
                <w:color w:val="000000"/>
                <w:spacing w:val="-2"/>
              </w:rPr>
              <w:t>systemu wsparcia.</w:t>
            </w:r>
          </w:p>
          <w:p w14:paraId="0393C43E" w14:textId="200DD743" w:rsidR="006C01DB" w:rsidRDefault="008E5C98" w:rsidP="002C5B83">
            <w:pPr>
              <w:spacing w:before="120" w:after="120" w:line="240" w:lineRule="auto"/>
              <w:jc w:val="both"/>
              <w:rPr>
                <w:rFonts w:ascii="Times New Roman" w:hAnsi="Times New Roman"/>
                <w:b/>
                <w:bCs/>
                <w:color w:val="000000"/>
                <w:spacing w:val="-2"/>
              </w:rPr>
            </w:pPr>
            <w:r w:rsidRPr="00AF1C2E">
              <w:rPr>
                <w:rFonts w:ascii="Times New Roman" w:hAnsi="Times New Roman"/>
                <w:b/>
                <w:bCs/>
                <w:color w:val="000000"/>
                <w:spacing w:val="-2"/>
              </w:rPr>
              <w:t xml:space="preserve">Na bazie przyjętych założeń, koszt systemów modernizacji i wsparcia </w:t>
            </w:r>
            <w:r w:rsidR="00012E65">
              <w:rPr>
                <w:rFonts w:ascii="Times New Roman" w:hAnsi="Times New Roman"/>
                <w:b/>
                <w:bCs/>
                <w:color w:val="000000"/>
                <w:spacing w:val="-2"/>
              </w:rPr>
              <w:t>operacyjnego</w:t>
            </w:r>
            <w:r w:rsidR="00012E65" w:rsidRPr="00AF1C2E">
              <w:rPr>
                <w:rFonts w:ascii="Times New Roman" w:hAnsi="Times New Roman"/>
                <w:b/>
                <w:bCs/>
                <w:color w:val="000000"/>
                <w:spacing w:val="-2"/>
              </w:rPr>
              <w:t xml:space="preserve"> </w:t>
            </w:r>
            <w:r w:rsidRPr="00AF1C2E">
              <w:rPr>
                <w:rFonts w:ascii="Times New Roman" w:hAnsi="Times New Roman"/>
                <w:b/>
                <w:bCs/>
                <w:color w:val="000000"/>
                <w:spacing w:val="-2"/>
              </w:rPr>
              <w:t xml:space="preserve">wyniesie w perspektywie roku 2045 </w:t>
            </w:r>
            <w:r w:rsidR="002A3E48" w:rsidRPr="00AF1C2E">
              <w:rPr>
                <w:rFonts w:ascii="Times New Roman" w:hAnsi="Times New Roman"/>
                <w:b/>
                <w:bCs/>
                <w:color w:val="000000"/>
                <w:spacing w:val="-2"/>
              </w:rPr>
              <w:t xml:space="preserve">ok. </w:t>
            </w:r>
            <w:r w:rsidR="008D0145">
              <w:rPr>
                <w:rFonts w:ascii="Times New Roman" w:hAnsi="Times New Roman"/>
                <w:b/>
                <w:bCs/>
                <w:color w:val="000000"/>
                <w:spacing w:val="-2"/>
              </w:rPr>
              <w:t>11,25</w:t>
            </w:r>
            <w:r w:rsidR="002A3E48" w:rsidRPr="00AF1C2E">
              <w:rPr>
                <w:rFonts w:ascii="Times New Roman" w:hAnsi="Times New Roman"/>
                <w:b/>
                <w:bCs/>
                <w:color w:val="000000"/>
                <w:spacing w:val="-2"/>
              </w:rPr>
              <w:t xml:space="preserve"> mld złotych.</w:t>
            </w:r>
          </w:p>
          <w:p w14:paraId="26FF0703" w14:textId="4E07ED45" w:rsidR="006C01DB" w:rsidRPr="006C01DB" w:rsidRDefault="006C01DB" w:rsidP="006C01DB">
            <w:pPr>
              <w:spacing w:before="120" w:after="120" w:line="240" w:lineRule="auto"/>
              <w:ind w:left="226"/>
              <w:jc w:val="both"/>
              <w:rPr>
                <w:rFonts w:ascii="Times New Roman" w:hAnsi="Times New Roman"/>
                <w:color w:val="000000"/>
                <w:spacing w:val="-2"/>
              </w:rPr>
            </w:pPr>
            <w:r w:rsidRPr="006C01DB">
              <w:rPr>
                <w:rFonts w:ascii="Times New Roman" w:hAnsi="Times New Roman"/>
                <w:color w:val="000000"/>
                <w:spacing w:val="-2"/>
              </w:rPr>
              <w:t>Tabela. 11</w:t>
            </w:r>
            <w:r>
              <w:rPr>
                <w:rFonts w:ascii="Times New Roman" w:hAnsi="Times New Roman"/>
                <w:color w:val="000000"/>
                <w:spacing w:val="-2"/>
              </w:rPr>
              <w:t>.</w:t>
            </w:r>
            <w:r w:rsidRPr="006C01DB">
              <w:rPr>
                <w:rFonts w:ascii="Times New Roman" w:hAnsi="Times New Roman"/>
                <w:color w:val="000000"/>
                <w:spacing w:val="-2"/>
              </w:rPr>
              <w:t xml:space="preserve"> Szacunki dotyczące kosztu systemów modernizacji i wsparcia </w:t>
            </w:r>
            <w:r w:rsidR="00012E65">
              <w:rPr>
                <w:rFonts w:ascii="Times New Roman" w:hAnsi="Times New Roman"/>
                <w:color w:val="000000"/>
                <w:spacing w:val="-2"/>
              </w:rPr>
              <w:t>operacyjnego</w:t>
            </w:r>
          </w:p>
          <w:tbl>
            <w:tblPr>
              <w:tblStyle w:val="Tabelasiatki5ciemnaakcent3"/>
              <w:tblW w:w="7800" w:type="dxa"/>
              <w:tblInd w:w="221" w:type="dxa"/>
              <w:tblLayout w:type="fixed"/>
              <w:tblLook w:val="04A0" w:firstRow="1" w:lastRow="0" w:firstColumn="1" w:lastColumn="0" w:noHBand="0" w:noVBand="1"/>
            </w:tblPr>
            <w:tblGrid>
              <w:gridCol w:w="1985"/>
              <w:gridCol w:w="1984"/>
              <w:gridCol w:w="1843"/>
              <w:gridCol w:w="1988"/>
            </w:tblGrid>
            <w:tr w:rsidR="006C01DB" w:rsidRPr="00D234B1" w14:paraId="3D5E4225" w14:textId="77777777" w:rsidTr="009C0E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gridSpan w:val="2"/>
                  <w:noWrap/>
                  <w:hideMark/>
                </w:tcPr>
                <w:p w14:paraId="5D09938A" w14:textId="77777777" w:rsidR="006C01DB" w:rsidRPr="00D234B1" w:rsidRDefault="006C01DB" w:rsidP="006C01DB">
                  <w:pPr>
                    <w:spacing w:line="240" w:lineRule="auto"/>
                    <w:ind w:left="-234"/>
                    <w:jc w:val="center"/>
                    <w:rPr>
                      <w:rFonts w:ascii="Times New Roman" w:eastAsia="Times New Roman" w:hAnsi="Times New Roman"/>
                      <w:color w:val="000000"/>
                      <w:lang w:eastAsia="pl-PL"/>
                    </w:rPr>
                  </w:pPr>
                  <w:r w:rsidRPr="00D234B1">
                    <w:rPr>
                      <w:rFonts w:ascii="Times New Roman" w:eastAsia="Times New Roman" w:hAnsi="Times New Roman"/>
                      <w:color w:val="000000"/>
                      <w:lang w:eastAsia="pl-PL"/>
                    </w:rPr>
                    <w:t>Modernizacja</w:t>
                  </w:r>
                </w:p>
              </w:tc>
              <w:tc>
                <w:tcPr>
                  <w:tcW w:w="3831" w:type="dxa"/>
                  <w:gridSpan w:val="2"/>
                  <w:noWrap/>
                  <w:hideMark/>
                </w:tcPr>
                <w:p w14:paraId="536DFBB5" w14:textId="2126584B" w:rsidR="006C01DB" w:rsidRPr="00D234B1" w:rsidRDefault="00E37C00" w:rsidP="006C01D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Pr>
                      <w:rFonts w:ascii="Times New Roman" w:eastAsia="Times New Roman" w:hAnsi="Times New Roman"/>
                      <w:color w:val="000000"/>
                      <w:lang w:eastAsia="pl-PL"/>
                    </w:rPr>
                    <w:t xml:space="preserve">Wsparcie </w:t>
                  </w:r>
                  <w:r w:rsidR="00012E65">
                    <w:rPr>
                      <w:rFonts w:ascii="Times New Roman" w:eastAsia="Times New Roman" w:hAnsi="Times New Roman"/>
                      <w:color w:val="000000"/>
                      <w:lang w:eastAsia="pl-PL"/>
                    </w:rPr>
                    <w:t>operacyjne</w:t>
                  </w:r>
                </w:p>
              </w:tc>
            </w:tr>
            <w:tr w:rsidR="006C01DB" w:rsidRPr="00D234B1" w14:paraId="0D9EEEA0" w14:textId="77777777" w:rsidTr="009C0E8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985" w:type="dxa"/>
                  <w:noWrap/>
                </w:tcPr>
                <w:p w14:paraId="458217FE" w14:textId="6897687A" w:rsidR="006C01DB" w:rsidRPr="00D234B1" w:rsidRDefault="006C01DB" w:rsidP="006C01DB">
                  <w:pPr>
                    <w:spacing w:line="240" w:lineRule="auto"/>
                    <w:jc w:val="right"/>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 xml:space="preserve">Rok wyjścia instalacji z dotychczasowego systemu </w:t>
                  </w:r>
                </w:p>
              </w:tc>
              <w:tc>
                <w:tcPr>
                  <w:tcW w:w="1984" w:type="dxa"/>
                  <w:noWrap/>
                  <w:vAlign w:val="center"/>
                </w:tcPr>
                <w:p w14:paraId="2ADF517A" w14:textId="3BC69E1C" w:rsidR="006C01DB" w:rsidRPr="006C01DB"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Wysokość </w:t>
                  </w:r>
                  <w:r>
                    <w:rPr>
                      <w:rFonts w:ascii="Times New Roman" w:eastAsia="Times New Roman" w:hAnsi="Times New Roman"/>
                      <w:b/>
                      <w:bCs/>
                      <w:color w:val="000000"/>
                      <w:lang w:eastAsia="pl-PL"/>
                    </w:rPr>
                    <w:t xml:space="preserve">szacowanego </w:t>
                  </w:r>
                  <w:r w:rsidRPr="006C01DB">
                    <w:rPr>
                      <w:rFonts w:ascii="Times New Roman" w:eastAsia="Times New Roman" w:hAnsi="Times New Roman"/>
                      <w:b/>
                      <w:bCs/>
                      <w:color w:val="000000"/>
                      <w:lang w:eastAsia="pl-PL"/>
                    </w:rPr>
                    <w:t>wsparcia</w:t>
                  </w:r>
                </w:p>
              </w:tc>
              <w:tc>
                <w:tcPr>
                  <w:tcW w:w="1843" w:type="dxa"/>
                  <w:noWrap/>
                  <w:vAlign w:val="center"/>
                </w:tcPr>
                <w:p w14:paraId="544585DE" w14:textId="1BA6FAFA" w:rsidR="006C01DB" w:rsidRPr="006C01DB"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Rok wyjścia instalacji z dotychczasowego systemu </w:t>
                  </w:r>
                </w:p>
              </w:tc>
              <w:tc>
                <w:tcPr>
                  <w:tcW w:w="1988" w:type="dxa"/>
                  <w:noWrap/>
                  <w:vAlign w:val="center"/>
                </w:tcPr>
                <w:p w14:paraId="0A2D799B" w14:textId="036A92C8" w:rsidR="006C01DB" w:rsidRPr="006C01DB"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6C01DB">
                    <w:rPr>
                      <w:rFonts w:ascii="Times New Roman" w:eastAsia="Times New Roman" w:hAnsi="Times New Roman"/>
                      <w:b/>
                      <w:bCs/>
                      <w:color w:val="000000"/>
                      <w:lang w:eastAsia="pl-PL"/>
                    </w:rPr>
                    <w:t xml:space="preserve">Wysokość </w:t>
                  </w:r>
                  <w:r>
                    <w:rPr>
                      <w:rFonts w:ascii="Times New Roman" w:eastAsia="Times New Roman" w:hAnsi="Times New Roman"/>
                      <w:b/>
                      <w:bCs/>
                      <w:color w:val="000000"/>
                      <w:lang w:eastAsia="pl-PL"/>
                    </w:rPr>
                    <w:t xml:space="preserve">szacowanego </w:t>
                  </w:r>
                  <w:r w:rsidRPr="006C01DB">
                    <w:rPr>
                      <w:rFonts w:ascii="Times New Roman" w:eastAsia="Times New Roman" w:hAnsi="Times New Roman"/>
                      <w:b/>
                      <w:bCs/>
                      <w:color w:val="000000"/>
                      <w:lang w:eastAsia="pl-PL"/>
                    </w:rPr>
                    <w:t>wsparcia</w:t>
                  </w:r>
                </w:p>
              </w:tc>
            </w:tr>
            <w:tr w:rsidR="006C01DB" w:rsidRPr="00D234B1" w14:paraId="72DE48D1" w14:textId="77777777" w:rsidTr="009C0E8B">
              <w:trPr>
                <w:trHeight w:val="312"/>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41C54C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2020-2023</w:t>
                  </w:r>
                </w:p>
              </w:tc>
              <w:tc>
                <w:tcPr>
                  <w:tcW w:w="1984" w:type="dxa"/>
                  <w:noWrap/>
                  <w:vAlign w:val="center"/>
                  <w:hideMark/>
                </w:tcPr>
                <w:p w14:paraId="2DEDB0E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166 837 759,62 zł</w:t>
                  </w:r>
                </w:p>
              </w:tc>
              <w:tc>
                <w:tcPr>
                  <w:tcW w:w="1843" w:type="dxa"/>
                  <w:noWrap/>
                  <w:vAlign w:val="center"/>
                  <w:hideMark/>
                </w:tcPr>
                <w:p w14:paraId="12A99BB7"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2020-2023</w:t>
                  </w:r>
                </w:p>
              </w:tc>
              <w:tc>
                <w:tcPr>
                  <w:tcW w:w="1988" w:type="dxa"/>
                  <w:noWrap/>
                  <w:vAlign w:val="center"/>
                  <w:hideMark/>
                </w:tcPr>
                <w:p w14:paraId="0FC77B9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25 252 425,05 zł</w:t>
                  </w:r>
                </w:p>
              </w:tc>
            </w:tr>
            <w:tr w:rsidR="006C01DB" w:rsidRPr="00D234B1" w14:paraId="690868C1"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49C73C2"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2024</w:t>
                  </w:r>
                </w:p>
              </w:tc>
              <w:tc>
                <w:tcPr>
                  <w:tcW w:w="1984" w:type="dxa"/>
                  <w:noWrap/>
                  <w:vAlign w:val="center"/>
                  <w:hideMark/>
                </w:tcPr>
                <w:p w14:paraId="1111C0C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189 565 800,67 zł</w:t>
                  </w:r>
                </w:p>
              </w:tc>
              <w:tc>
                <w:tcPr>
                  <w:tcW w:w="1843" w:type="dxa"/>
                  <w:noWrap/>
                  <w:vAlign w:val="center"/>
                  <w:hideMark/>
                </w:tcPr>
                <w:p w14:paraId="711E64D1"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2024</w:t>
                  </w:r>
                </w:p>
              </w:tc>
              <w:tc>
                <w:tcPr>
                  <w:tcW w:w="1988" w:type="dxa"/>
                  <w:noWrap/>
                  <w:vAlign w:val="center"/>
                  <w:hideMark/>
                </w:tcPr>
                <w:p w14:paraId="360E98C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33 125 431,39 zł</w:t>
                  </w:r>
                </w:p>
              </w:tc>
            </w:tr>
            <w:tr w:rsidR="006C01DB" w:rsidRPr="00D234B1" w14:paraId="2CCF1120"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2A7991F"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2025</w:t>
                  </w:r>
                </w:p>
              </w:tc>
              <w:tc>
                <w:tcPr>
                  <w:tcW w:w="1984" w:type="dxa"/>
                  <w:noWrap/>
                  <w:vAlign w:val="center"/>
                  <w:hideMark/>
                </w:tcPr>
                <w:p w14:paraId="72A9E80A"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222 089 023,90 zł</w:t>
                  </w:r>
                </w:p>
              </w:tc>
              <w:tc>
                <w:tcPr>
                  <w:tcW w:w="1843" w:type="dxa"/>
                  <w:noWrap/>
                  <w:vAlign w:val="center"/>
                  <w:hideMark/>
                </w:tcPr>
                <w:p w14:paraId="7B37C729"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2025</w:t>
                  </w:r>
                </w:p>
              </w:tc>
              <w:tc>
                <w:tcPr>
                  <w:tcW w:w="1988" w:type="dxa"/>
                  <w:noWrap/>
                  <w:vAlign w:val="center"/>
                  <w:hideMark/>
                </w:tcPr>
                <w:p w14:paraId="25E066A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40 606 777,03 zł</w:t>
                  </w:r>
                </w:p>
              </w:tc>
            </w:tr>
            <w:tr w:rsidR="006C01DB" w:rsidRPr="00D234B1" w14:paraId="16FEFA2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ED0C72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2026</w:t>
                  </w:r>
                </w:p>
              </w:tc>
              <w:tc>
                <w:tcPr>
                  <w:tcW w:w="1984" w:type="dxa"/>
                  <w:noWrap/>
                  <w:vAlign w:val="center"/>
                  <w:hideMark/>
                </w:tcPr>
                <w:p w14:paraId="4A74E46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257 168 886,51 zł</w:t>
                  </w:r>
                </w:p>
              </w:tc>
              <w:tc>
                <w:tcPr>
                  <w:tcW w:w="1843" w:type="dxa"/>
                  <w:noWrap/>
                  <w:vAlign w:val="center"/>
                  <w:hideMark/>
                </w:tcPr>
                <w:p w14:paraId="016C31D2"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2026</w:t>
                  </w:r>
                </w:p>
              </w:tc>
              <w:tc>
                <w:tcPr>
                  <w:tcW w:w="1988" w:type="dxa"/>
                  <w:noWrap/>
                  <w:vAlign w:val="center"/>
                  <w:hideMark/>
                </w:tcPr>
                <w:p w14:paraId="2EC0014F"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51 801 867,61 zł</w:t>
                  </w:r>
                </w:p>
              </w:tc>
            </w:tr>
            <w:tr w:rsidR="006C01DB" w:rsidRPr="00D234B1" w14:paraId="3616D302"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ECEC5CD"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2027</w:t>
                  </w:r>
                </w:p>
              </w:tc>
              <w:tc>
                <w:tcPr>
                  <w:tcW w:w="1984" w:type="dxa"/>
                  <w:noWrap/>
                  <w:vAlign w:val="center"/>
                  <w:hideMark/>
                </w:tcPr>
                <w:p w14:paraId="6D872AB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362 036 964,78 zł</w:t>
                  </w:r>
                </w:p>
              </w:tc>
              <w:tc>
                <w:tcPr>
                  <w:tcW w:w="1843" w:type="dxa"/>
                  <w:noWrap/>
                  <w:vAlign w:val="center"/>
                  <w:hideMark/>
                </w:tcPr>
                <w:p w14:paraId="757DA8F5"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2027</w:t>
                  </w:r>
                </w:p>
              </w:tc>
              <w:tc>
                <w:tcPr>
                  <w:tcW w:w="1988" w:type="dxa"/>
                  <w:noWrap/>
                  <w:vAlign w:val="center"/>
                  <w:hideMark/>
                </w:tcPr>
                <w:p w14:paraId="70C7A52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71 910 134,67 zł</w:t>
                  </w:r>
                </w:p>
              </w:tc>
            </w:tr>
            <w:tr w:rsidR="006C01DB" w:rsidRPr="00D234B1" w14:paraId="0C0AA8F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4A9BC7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2028</w:t>
                  </w:r>
                </w:p>
              </w:tc>
              <w:tc>
                <w:tcPr>
                  <w:tcW w:w="1984" w:type="dxa"/>
                  <w:noWrap/>
                  <w:vAlign w:val="center"/>
                  <w:hideMark/>
                </w:tcPr>
                <w:p w14:paraId="1EB0A2D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432 787 631,47 zł</w:t>
                  </w:r>
                </w:p>
              </w:tc>
              <w:tc>
                <w:tcPr>
                  <w:tcW w:w="1843" w:type="dxa"/>
                  <w:noWrap/>
                  <w:vAlign w:val="center"/>
                  <w:hideMark/>
                </w:tcPr>
                <w:p w14:paraId="7963B1A6"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2028</w:t>
                  </w:r>
                </w:p>
              </w:tc>
              <w:tc>
                <w:tcPr>
                  <w:tcW w:w="1988" w:type="dxa"/>
                  <w:noWrap/>
                  <w:vAlign w:val="center"/>
                  <w:hideMark/>
                </w:tcPr>
                <w:p w14:paraId="00A3193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103 621 751,87 zł</w:t>
                  </w:r>
                </w:p>
              </w:tc>
            </w:tr>
            <w:tr w:rsidR="006C01DB" w:rsidRPr="00D234B1" w14:paraId="7C923737"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0002994"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2029</w:t>
                  </w:r>
                </w:p>
              </w:tc>
              <w:tc>
                <w:tcPr>
                  <w:tcW w:w="1984" w:type="dxa"/>
                  <w:noWrap/>
                  <w:vAlign w:val="center"/>
                  <w:hideMark/>
                </w:tcPr>
                <w:p w14:paraId="7147D3B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477 367 082,23 zł</w:t>
                  </w:r>
                </w:p>
              </w:tc>
              <w:tc>
                <w:tcPr>
                  <w:tcW w:w="1843" w:type="dxa"/>
                  <w:noWrap/>
                  <w:vAlign w:val="center"/>
                  <w:hideMark/>
                </w:tcPr>
                <w:p w14:paraId="6B9102FB"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2029</w:t>
                  </w:r>
                </w:p>
              </w:tc>
              <w:tc>
                <w:tcPr>
                  <w:tcW w:w="1988" w:type="dxa"/>
                  <w:noWrap/>
                  <w:vAlign w:val="center"/>
                  <w:hideMark/>
                </w:tcPr>
                <w:p w14:paraId="352C38F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120 134 023,80 zł</w:t>
                  </w:r>
                </w:p>
              </w:tc>
            </w:tr>
            <w:tr w:rsidR="006C01DB" w:rsidRPr="00D234B1" w14:paraId="4414851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05D30DE"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2030</w:t>
                  </w:r>
                </w:p>
              </w:tc>
              <w:tc>
                <w:tcPr>
                  <w:tcW w:w="1984" w:type="dxa"/>
                  <w:noWrap/>
                  <w:vAlign w:val="center"/>
                  <w:hideMark/>
                </w:tcPr>
                <w:p w14:paraId="62288019"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538 931 068,24 zł</w:t>
                  </w:r>
                </w:p>
              </w:tc>
              <w:tc>
                <w:tcPr>
                  <w:tcW w:w="1843" w:type="dxa"/>
                  <w:noWrap/>
                  <w:vAlign w:val="center"/>
                  <w:hideMark/>
                </w:tcPr>
                <w:p w14:paraId="46C73BEA"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2030</w:t>
                  </w:r>
                </w:p>
              </w:tc>
              <w:tc>
                <w:tcPr>
                  <w:tcW w:w="1988" w:type="dxa"/>
                  <w:noWrap/>
                  <w:vAlign w:val="center"/>
                  <w:hideMark/>
                </w:tcPr>
                <w:p w14:paraId="64524B02"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137 819 844,97 zł</w:t>
                  </w:r>
                </w:p>
              </w:tc>
            </w:tr>
            <w:tr w:rsidR="006C01DB" w:rsidRPr="00D234B1" w14:paraId="488E7FDB"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24366E6"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2031</w:t>
                  </w:r>
                </w:p>
              </w:tc>
              <w:tc>
                <w:tcPr>
                  <w:tcW w:w="1984" w:type="dxa"/>
                  <w:noWrap/>
                  <w:vAlign w:val="center"/>
                  <w:hideMark/>
                </w:tcPr>
                <w:p w14:paraId="4ECF7CB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556 176 862,42 zł</w:t>
                  </w:r>
                </w:p>
              </w:tc>
              <w:tc>
                <w:tcPr>
                  <w:tcW w:w="1843" w:type="dxa"/>
                  <w:noWrap/>
                  <w:vAlign w:val="center"/>
                  <w:hideMark/>
                </w:tcPr>
                <w:p w14:paraId="08EF64CD"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2031</w:t>
                  </w:r>
                </w:p>
              </w:tc>
              <w:tc>
                <w:tcPr>
                  <w:tcW w:w="1988" w:type="dxa"/>
                  <w:noWrap/>
                  <w:vAlign w:val="center"/>
                  <w:hideMark/>
                </w:tcPr>
                <w:p w14:paraId="62FABF6C"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142 230 080,01 zł</w:t>
                  </w:r>
                </w:p>
              </w:tc>
            </w:tr>
            <w:tr w:rsidR="006C01DB" w:rsidRPr="00D234B1" w14:paraId="11F2F5E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DCBC46F"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2032</w:t>
                  </w:r>
                </w:p>
              </w:tc>
              <w:tc>
                <w:tcPr>
                  <w:tcW w:w="1984" w:type="dxa"/>
                  <w:noWrap/>
                  <w:vAlign w:val="center"/>
                  <w:hideMark/>
                </w:tcPr>
                <w:p w14:paraId="2D3BA1E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573 974 522,02 zł</w:t>
                  </w:r>
                </w:p>
              </w:tc>
              <w:tc>
                <w:tcPr>
                  <w:tcW w:w="1843" w:type="dxa"/>
                  <w:noWrap/>
                  <w:vAlign w:val="center"/>
                  <w:hideMark/>
                </w:tcPr>
                <w:p w14:paraId="63BFE580"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2032</w:t>
                  </w:r>
                </w:p>
              </w:tc>
              <w:tc>
                <w:tcPr>
                  <w:tcW w:w="1988" w:type="dxa"/>
                  <w:noWrap/>
                  <w:vAlign w:val="center"/>
                  <w:hideMark/>
                </w:tcPr>
                <w:p w14:paraId="53D448A0"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146 781 442,57 zł</w:t>
                  </w:r>
                </w:p>
              </w:tc>
            </w:tr>
            <w:tr w:rsidR="006C01DB" w:rsidRPr="00D234B1" w14:paraId="7CDF713F"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0D02EE1"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2033</w:t>
                  </w:r>
                </w:p>
              </w:tc>
              <w:tc>
                <w:tcPr>
                  <w:tcW w:w="1984" w:type="dxa"/>
                  <w:noWrap/>
                  <w:vAlign w:val="center"/>
                  <w:hideMark/>
                </w:tcPr>
                <w:p w14:paraId="3DA33BAA"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592 341 706,72 zł</w:t>
                  </w:r>
                </w:p>
              </w:tc>
              <w:tc>
                <w:tcPr>
                  <w:tcW w:w="1843" w:type="dxa"/>
                  <w:noWrap/>
                  <w:vAlign w:val="center"/>
                  <w:hideMark/>
                </w:tcPr>
                <w:p w14:paraId="3A34BF00"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2033</w:t>
                  </w:r>
                </w:p>
              </w:tc>
              <w:tc>
                <w:tcPr>
                  <w:tcW w:w="1988" w:type="dxa"/>
                  <w:noWrap/>
                  <w:vAlign w:val="center"/>
                  <w:hideMark/>
                </w:tcPr>
                <w:p w14:paraId="14903F7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151 478 448,73 zł</w:t>
                  </w:r>
                </w:p>
              </w:tc>
            </w:tr>
            <w:tr w:rsidR="006C01DB" w:rsidRPr="00D234B1" w14:paraId="22E0EEA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30886D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2034</w:t>
                  </w:r>
                </w:p>
              </w:tc>
              <w:tc>
                <w:tcPr>
                  <w:tcW w:w="1984" w:type="dxa"/>
                  <w:noWrap/>
                  <w:vAlign w:val="center"/>
                  <w:hideMark/>
                </w:tcPr>
                <w:p w14:paraId="192A5AE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611 296 641,34 zł</w:t>
                  </w:r>
                </w:p>
              </w:tc>
              <w:tc>
                <w:tcPr>
                  <w:tcW w:w="1843" w:type="dxa"/>
                  <w:noWrap/>
                  <w:vAlign w:val="center"/>
                  <w:hideMark/>
                </w:tcPr>
                <w:p w14:paraId="08EDED25"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2034</w:t>
                  </w:r>
                </w:p>
              </w:tc>
              <w:tc>
                <w:tcPr>
                  <w:tcW w:w="1988" w:type="dxa"/>
                  <w:noWrap/>
                  <w:vAlign w:val="center"/>
                  <w:hideMark/>
                </w:tcPr>
                <w:p w14:paraId="2AAF51C6"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120 616 588,67 zł</w:t>
                  </w:r>
                </w:p>
              </w:tc>
            </w:tr>
            <w:tr w:rsidR="006C01DB" w:rsidRPr="00D234B1" w14:paraId="52D30187"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A30285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2035</w:t>
                  </w:r>
                </w:p>
              </w:tc>
              <w:tc>
                <w:tcPr>
                  <w:tcW w:w="1984" w:type="dxa"/>
                  <w:noWrap/>
                  <w:vAlign w:val="center"/>
                  <w:hideMark/>
                </w:tcPr>
                <w:p w14:paraId="1488DA9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630 858 133,86 zł</w:t>
                  </w:r>
                </w:p>
              </w:tc>
              <w:tc>
                <w:tcPr>
                  <w:tcW w:w="1843" w:type="dxa"/>
                  <w:noWrap/>
                  <w:vAlign w:val="center"/>
                  <w:hideMark/>
                </w:tcPr>
                <w:p w14:paraId="6135A64B"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2035</w:t>
                  </w:r>
                </w:p>
              </w:tc>
              <w:tc>
                <w:tcPr>
                  <w:tcW w:w="1988" w:type="dxa"/>
                  <w:noWrap/>
                  <w:vAlign w:val="center"/>
                  <w:hideMark/>
                </w:tcPr>
                <w:p w14:paraId="62397F3C"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114 485 883,19 zł</w:t>
                  </w:r>
                </w:p>
              </w:tc>
            </w:tr>
            <w:tr w:rsidR="006C01DB" w:rsidRPr="00D234B1" w14:paraId="3D47BD4D"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3EE84FE"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2036</w:t>
                  </w:r>
                </w:p>
              </w:tc>
              <w:tc>
                <w:tcPr>
                  <w:tcW w:w="1984" w:type="dxa"/>
                  <w:noWrap/>
                  <w:vAlign w:val="center"/>
                  <w:hideMark/>
                </w:tcPr>
                <w:p w14:paraId="7070BBC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651 045 594,14 zł</w:t>
                  </w:r>
                </w:p>
              </w:tc>
              <w:tc>
                <w:tcPr>
                  <w:tcW w:w="1843" w:type="dxa"/>
                  <w:noWrap/>
                  <w:vAlign w:val="center"/>
                  <w:hideMark/>
                </w:tcPr>
                <w:p w14:paraId="2FE14B71"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2036</w:t>
                  </w:r>
                </w:p>
              </w:tc>
              <w:tc>
                <w:tcPr>
                  <w:tcW w:w="1988" w:type="dxa"/>
                  <w:noWrap/>
                  <w:vAlign w:val="center"/>
                  <w:hideMark/>
                </w:tcPr>
                <w:p w14:paraId="7117E8B8"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109 069 098,28 zł</w:t>
                  </w:r>
                </w:p>
              </w:tc>
            </w:tr>
            <w:tr w:rsidR="006C01DB" w:rsidRPr="00D234B1" w14:paraId="12927C00"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436008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2037</w:t>
                  </w:r>
                </w:p>
              </w:tc>
              <w:tc>
                <w:tcPr>
                  <w:tcW w:w="1984" w:type="dxa"/>
                  <w:noWrap/>
                  <w:vAlign w:val="center"/>
                  <w:hideMark/>
                </w:tcPr>
                <w:p w14:paraId="26BEEE72"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671 879 053,16 zł</w:t>
                  </w:r>
                </w:p>
              </w:tc>
              <w:tc>
                <w:tcPr>
                  <w:tcW w:w="1843" w:type="dxa"/>
                  <w:noWrap/>
                  <w:vAlign w:val="center"/>
                  <w:hideMark/>
                </w:tcPr>
                <w:p w14:paraId="05CE561F"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2037</w:t>
                  </w:r>
                </w:p>
              </w:tc>
              <w:tc>
                <w:tcPr>
                  <w:tcW w:w="1988" w:type="dxa"/>
                  <w:noWrap/>
                  <w:vAlign w:val="center"/>
                  <w:hideMark/>
                </w:tcPr>
                <w:p w14:paraId="57CA9A6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98 565 948,45 zł</w:t>
                  </w:r>
                </w:p>
              </w:tc>
            </w:tr>
            <w:tr w:rsidR="006C01DB" w:rsidRPr="00D234B1" w14:paraId="543F1846"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8ABB4E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2038</w:t>
                  </w:r>
                </w:p>
              </w:tc>
              <w:tc>
                <w:tcPr>
                  <w:tcW w:w="1984" w:type="dxa"/>
                  <w:noWrap/>
                  <w:vAlign w:val="center"/>
                  <w:hideMark/>
                </w:tcPr>
                <w:p w14:paraId="0E482F3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693 379 182,86 zł</w:t>
                  </w:r>
                </w:p>
              </w:tc>
              <w:tc>
                <w:tcPr>
                  <w:tcW w:w="1843" w:type="dxa"/>
                  <w:noWrap/>
                  <w:vAlign w:val="center"/>
                  <w:hideMark/>
                </w:tcPr>
                <w:p w14:paraId="0248A315"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2038</w:t>
                  </w:r>
                </w:p>
              </w:tc>
              <w:tc>
                <w:tcPr>
                  <w:tcW w:w="1988" w:type="dxa"/>
                  <w:noWrap/>
                  <w:vAlign w:val="center"/>
                  <w:hideMark/>
                </w:tcPr>
                <w:p w14:paraId="37A51C6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75 629 262,42 zł</w:t>
                  </w:r>
                </w:p>
              </w:tc>
            </w:tr>
            <w:tr w:rsidR="006C01DB" w:rsidRPr="00D234B1" w14:paraId="663BEA7E"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3930E26"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2039</w:t>
                  </w:r>
                </w:p>
              </w:tc>
              <w:tc>
                <w:tcPr>
                  <w:tcW w:w="1984" w:type="dxa"/>
                  <w:noWrap/>
                  <w:vAlign w:val="center"/>
                  <w:hideMark/>
                </w:tcPr>
                <w:p w14:paraId="0B927DAF"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439 401 764,19 zł</w:t>
                  </w:r>
                </w:p>
              </w:tc>
              <w:tc>
                <w:tcPr>
                  <w:tcW w:w="1843" w:type="dxa"/>
                  <w:noWrap/>
                  <w:vAlign w:val="center"/>
                  <w:hideMark/>
                </w:tcPr>
                <w:p w14:paraId="0DEC46B1" w14:textId="77777777" w:rsidR="006C01DB" w:rsidRPr="00D234B1" w:rsidRDefault="006C01DB" w:rsidP="009C0E8B">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2039</w:t>
                  </w:r>
                </w:p>
              </w:tc>
              <w:tc>
                <w:tcPr>
                  <w:tcW w:w="1988" w:type="dxa"/>
                  <w:noWrap/>
                  <w:vAlign w:val="center"/>
                  <w:hideMark/>
                </w:tcPr>
                <w:p w14:paraId="3C60BCE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36 460 351,39 zł</w:t>
                  </w:r>
                </w:p>
              </w:tc>
            </w:tr>
            <w:tr w:rsidR="006C01DB" w:rsidRPr="00D234B1" w14:paraId="6CD3C63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39FD84A"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2040</w:t>
                  </w:r>
                </w:p>
              </w:tc>
              <w:tc>
                <w:tcPr>
                  <w:tcW w:w="1984" w:type="dxa"/>
                  <w:noWrap/>
                  <w:vAlign w:val="center"/>
                  <w:hideMark/>
                </w:tcPr>
                <w:p w14:paraId="463953A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424 678 326,97 zł</w:t>
                  </w:r>
                </w:p>
              </w:tc>
              <w:tc>
                <w:tcPr>
                  <w:tcW w:w="1843" w:type="dxa"/>
                  <w:noWrap/>
                  <w:vAlign w:val="center"/>
                  <w:hideMark/>
                </w:tcPr>
                <w:p w14:paraId="204B9739" w14:textId="77777777" w:rsidR="006C01DB" w:rsidRPr="00D234B1" w:rsidRDefault="006C01DB" w:rsidP="009C0E8B">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2040</w:t>
                  </w:r>
                </w:p>
              </w:tc>
              <w:tc>
                <w:tcPr>
                  <w:tcW w:w="1988" w:type="dxa"/>
                  <w:noWrap/>
                  <w:vAlign w:val="center"/>
                  <w:hideMark/>
                </w:tcPr>
                <w:p w14:paraId="0EF51FD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18 966 235,86 zł</w:t>
                  </w:r>
                </w:p>
              </w:tc>
            </w:tr>
            <w:tr w:rsidR="006C01DB" w:rsidRPr="00D234B1" w14:paraId="20731BFD"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368D60C"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2041</w:t>
                  </w:r>
                </w:p>
              </w:tc>
              <w:tc>
                <w:tcPr>
                  <w:tcW w:w="1984" w:type="dxa"/>
                  <w:noWrap/>
                  <w:vAlign w:val="center"/>
                  <w:hideMark/>
                </w:tcPr>
                <w:p w14:paraId="37E853B7"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394 473 723,81 zł</w:t>
                  </w:r>
                </w:p>
              </w:tc>
              <w:tc>
                <w:tcPr>
                  <w:tcW w:w="1843" w:type="dxa"/>
                  <w:noWrap/>
                  <w:hideMark/>
                </w:tcPr>
                <w:p w14:paraId="66E066A6"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49CEDFF8"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1B2F28C3"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058C27"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2042</w:t>
                  </w:r>
                </w:p>
              </w:tc>
              <w:tc>
                <w:tcPr>
                  <w:tcW w:w="1984" w:type="dxa"/>
                  <w:noWrap/>
                  <w:vAlign w:val="center"/>
                  <w:hideMark/>
                </w:tcPr>
                <w:p w14:paraId="1EDEACCE"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360 793 319,30 zł</w:t>
                  </w:r>
                </w:p>
              </w:tc>
              <w:tc>
                <w:tcPr>
                  <w:tcW w:w="1843" w:type="dxa"/>
                  <w:noWrap/>
                  <w:hideMark/>
                </w:tcPr>
                <w:p w14:paraId="5F981F6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69F9473F"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l-PL"/>
                    </w:rPr>
                  </w:pPr>
                </w:p>
              </w:tc>
            </w:tr>
            <w:tr w:rsidR="006C01DB" w:rsidRPr="00D234B1" w14:paraId="5E107653"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B3B7164"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2043</w:t>
                  </w:r>
                </w:p>
              </w:tc>
              <w:tc>
                <w:tcPr>
                  <w:tcW w:w="1984" w:type="dxa"/>
                  <w:noWrap/>
                  <w:vAlign w:val="center"/>
                  <w:hideMark/>
                </w:tcPr>
                <w:p w14:paraId="3279FE24"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212 373 282,61 zł</w:t>
                  </w:r>
                </w:p>
              </w:tc>
              <w:tc>
                <w:tcPr>
                  <w:tcW w:w="1843" w:type="dxa"/>
                  <w:noWrap/>
                  <w:hideMark/>
                </w:tcPr>
                <w:p w14:paraId="0D178BD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5B5B7125"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4104BE9C"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8983ED8"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2044</w:t>
                  </w:r>
                </w:p>
              </w:tc>
              <w:tc>
                <w:tcPr>
                  <w:tcW w:w="1984" w:type="dxa"/>
                  <w:noWrap/>
                  <w:vAlign w:val="center"/>
                  <w:hideMark/>
                </w:tcPr>
                <w:p w14:paraId="43AFC580"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121 232 953,72 zł</w:t>
                  </w:r>
                </w:p>
              </w:tc>
              <w:tc>
                <w:tcPr>
                  <w:tcW w:w="1843" w:type="dxa"/>
                  <w:noWrap/>
                  <w:hideMark/>
                </w:tcPr>
                <w:p w14:paraId="4938A1F5"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1CAA0168"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pl-PL"/>
                    </w:rPr>
                  </w:pPr>
                </w:p>
              </w:tc>
            </w:tr>
            <w:tr w:rsidR="006C01DB" w:rsidRPr="00D234B1" w14:paraId="01FE1C7C" w14:textId="77777777" w:rsidTr="009C0E8B">
              <w:trPr>
                <w:trHeight w:val="288"/>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E11399D" w14:textId="77777777" w:rsidR="006C01DB" w:rsidRPr="00D234B1" w:rsidRDefault="006C01DB" w:rsidP="006C01DB">
                  <w:pPr>
                    <w:spacing w:line="240" w:lineRule="auto"/>
                    <w:jc w:val="right"/>
                    <w:rPr>
                      <w:rFonts w:ascii="Times New Roman" w:eastAsia="Times New Roman" w:hAnsi="Times New Roman"/>
                      <w:color w:val="000000"/>
                      <w:lang w:eastAsia="pl-PL"/>
                    </w:rPr>
                  </w:pPr>
                  <w:r w:rsidRPr="00D234B1">
                    <w:rPr>
                      <w:rFonts w:ascii="Times New Roman" w:eastAsia="Times New Roman" w:hAnsi="Times New Roman"/>
                      <w:color w:val="000000"/>
                      <w:lang w:eastAsia="pl-PL"/>
                    </w:rPr>
                    <w:t>2045</w:t>
                  </w:r>
                </w:p>
              </w:tc>
              <w:tc>
                <w:tcPr>
                  <w:tcW w:w="1984" w:type="dxa"/>
                  <w:noWrap/>
                  <w:vAlign w:val="center"/>
                  <w:hideMark/>
                </w:tcPr>
                <w:p w14:paraId="25DC3F29"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r w:rsidRPr="00D234B1">
                    <w:rPr>
                      <w:rFonts w:ascii="Times New Roman" w:eastAsia="Times New Roman" w:hAnsi="Times New Roman"/>
                      <w:color w:val="000000"/>
                      <w:lang w:eastAsia="pl-PL"/>
                    </w:rPr>
                    <w:t>74 244 813,66 zł</w:t>
                  </w:r>
                </w:p>
              </w:tc>
              <w:tc>
                <w:tcPr>
                  <w:tcW w:w="1843" w:type="dxa"/>
                  <w:noWrap/>
                  <w:hideMark/>
                </w:tcPr>
                <w:p w14:paraId="0D6FDCF1"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pl-PL"/>
                    </w:rPr>
                  </w:pPr>
                </w:p>
              </w:tc>
              <w:tc>
                <w:tcPr>
                  <w:tcW w:w="1988" w:type="dxa"/>
                  <w:noWrap/>
                  <w:vAlign w:val="center"/>
                  <w:hideMark/>
                </w:tcPr>
                <w:p w14:paraId="177BC340" w14:textId="77777777" w:rsidR="006C01DB" w:rsidRPr="00D234B1" w:rsidRDefault="006C01DB" w:rsidP="006C01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pl-PL"/>
                    </w:rPr>
                  </w:pPr>
                </w:p>
              </w:tc>
            </w:tr>
            <w:tr w:rsidR="006C01DB" w:rsidRPr="00D234B1" w14:paraId="618405EE" w14:textId="77777777" w:rsidTr="009C0E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noWrap/>
                </w:tcPr>
                <w:p w14:paraId="0C97774C" w14:textId="77777777" w:rsidR="006C01DB" w:rsidRPr="00D234B1" w:rsidRDefault="006C01DB" w:rsidP="006C01DB">
                  <w:pPr>
                    <w:spacing w:line="240" w:lineRule="auto"/>
                    <w:jc w:val="right"/>
                    <w:rPr>
                      <w:rFonts w:ascii="Times New Roman" w:eastAsia="Times New Roman" w:hAnsi="Times New Roman"/>
                      <w:b w:val="0"/>
                      <w:bCs w:val="0"/>
                      <w:color w:val="000000"/>
                      <w:lang w:eastAsia="pl-PL"/>
                    </w:rPr>
                  </w:pPr>
                  <w:r w:rsidRPr="00D234B1">
                    <w:rPr>
                      <w:rFonts w:ascii="Times New Roman" w:eastAsia="Times New Roman" w:hAnsi="Times New Roman"/>
                      <w:color w:val="000000"/>
                      <w:lang w:eastAsia="pl-PL"/>
                    </w:rPr>
                    <w:t>SUMA</w:t>
                  </w:r>
                </w:p>
              </w:tc>
              <w:tc>
                <w:tcPr>
                  <w:tcW w:w="1984" w:type="dxa"/>
                  <w:noWrap/>
                  <w:vAlign w:val="center"/>
                </w:tcPr>
                <w:p w14:paraId="29C86592"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r w:rsidRPr="00D234B1">
                    <w:rPr>
                      <w:rFonts w:ascii="Times New Roman" w:eastAsia="Times New Roman" w:hAnsi="Times New Roman"/>
                      <w:b/>
                      <w:bCs/>
                      <w:color w:val="000000"/>
                      <w:lang w:eastAsia="pl-PL"/>
                    </w:rPr>
                    <w:t>9 654 934 098,18 zł</w:t>
                  </w:r>
                </w:p>
              </w:tc>
              <w:tc>
                <w:tcPr>
                  <w:tcW w:w="1843" w:type="dxa"/>
                  <w:noWrap/>
                </w:tcPr>
                <w:p w14:paraId="07ED5D09"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pl-PL"/>
                    </w:rPr>
                  </w:pPr>
                </w:p>
              </w:tc>
              <w:tc>
                <w:tcPr>
                  <w:tcW w:w="1988" w:type="dxa"/>
                  <w:noWrap/>
                  <w:vAlign w:val="center"/>
                </w:tcPr>
                <w:p w14:paraId="3816E60B" w14:textId="77777777" w:rsidR="006C01DB" w:rsidRPr="00D234B1" w:rsidRDefault="006C01DB" w:rsidP="006C01D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D234B1">
                    <w:rPr>
                      <w:rFonts w:ascii="Times New Roman" w:eastAsia="Times New Roman" w:hAnsi="Times New Roman"/>
                      <w:b/>
                      <w:bCs/>
                      <w:color w:val="000000"/>
                      <w:lang w:eastAsia="pl-PL"/>
                    </w:rPr>
                    <w:t>1 598 555 595,97 zł</w:t>
                  </w:r>
                </w:p>
              </w:tc>
            </w:tr>
          </w:tbl>
          <w:p w14:paraId="1322F8D3" w14:textId="5716021F" w:rsidR="009C0E8B" w:rsidRDefault="009C0E8B" w:rsidP="002C5B83">
            <w:pPr>
              <w:spacing w:before="120" w:after="120" w:line="240" w:lineRule="auto"/>
              <w:jc w:val="both"/>
              <w:rPr>
                <w:rFonts w:ascii="Times New Roman" w:hAnsi="Times New Roman"/>
                <w:color w:val="000000"/>
                <w:spacing w:val="-2"/>
              </w:rPr>
            </w:pPr>
            <w:r w:rsidRPr="009C0E8B">
              <w:rPr>
                <w:rFonts w:ascii="Times New Roman" w:hAnsi="Times New Roman"/>
                <w:color w:val="000000"/>
                <w:spacing w:val="-2"/>
              </w:rPr>
              <w:t>Powyże</w:t>
            </w:r>
            <w:r>
              <w:rPr>
                <w:rFonts w:ascii="Times New Roman" w:hAnsi="Times New Roman"/>
                <w:color w:val="000000"/>
                <w:spacing w:val="-2"/>
              </w:rPr>
              <w:t xml:space="preserve">j przedstawione koszty systemu wsparcia modernizacji instalacji OZE oraz wsparcia ich działalności operacyjnej dotyczy ok, </w:t>
            </w:r>
            <w:r w:rsidRPr="009C0E8B">
              <w:rPr>
                <w:rFonts w:ascii="Times New Roman" w:hAnsi="Times New Roman"/>
                <w:color w:val="000000"/>
                <w:spacing w:val="-2"/>
              </w:rPr>
              <w:t>1241,29 MW</w:t>
            </w:r>
            <w:r>
              <w:rPr>
                <w:rFonts w:ascii="Times New Roman" w:hAnsi="Times New Roman"/>
                <w:color w:val="000000"/>
                <w:spacing w:val="-2"/>
              </w:rPr>
              <w:t xml:space="preserve"> mocy zainstalowanych w technologiach biomasy, biogazu oraz energetyki wodnej. </w:t>
            </w:r>
          </w:p>
          <w:p w14:paraId="5070DCB2" w14:textId="291E1410" w:rsidR="009C0E8B" w:rsidRDefault="009C0E8B" w:rsidP="002C5B83">
            <w:pPr>
              <w:spacing w:before="120" w:after="120" w:line="240" w:lineRule="auto"/>
              <w:jc w:val="both"/>
              <w:rPr>
                <w:rFonts w:ascii="Times New Roman" w:hAnsi="Times New Roman"/>
                <w:color w:val="000000"/>
                <w:spacing w:val="-2"/>
              </w:rPr>
            </w:pPr>
            <w:r>
              <w:rPr>
                <w:rFonts w:ascii="Times New Roman" w:hAnsi="Times New Roman"/>
                <w:color w:val="000000"/>
                <w:spacing w:val="-2"/>
              </w:rPr>
              <w:t xml:space="preserve">Wyraźnego podkreślenia wymaga, że koszty utrzymania istniejących instalacji w systemie poprzez wsparcie </w:t>
            </w:r>
            <w:r w:rsidR="00012E65">
              <w:rPr>
                <w:rFonts w:ascii="Times New Roman" w:hAnsi="Times New Roman"/>
                <w:color w:val="000000"/>
                <w:spacing w:val="-2"/>
              </w:rPr>
              <w:t xml:space="preserve">operacyjne </w:t>
            </w:r>
            <w:r>
              <w:rPr>
                <w:rFonts w:ascii="Times New Roman" w:hAnsi="Times New Roman"/>
                <w:color w:val="000000"/>
                <w:spacing w:val="-2"/>
              </w:rPr>
              <w:t xml:space="preserve">lub wsparcie modernizacji jest rozwiązaniem podyktowanym korzyściami dla konsumentów energii i kosztów systemu wsparcia energii odnawialnej. </w:t>
            </w:r>
          </w:p>
          <w:p w14:paraId="0C138AAB" w14:textId="375E4039" w:rsidR="002C5B83" w:rsidRPr="00282CF3" w:rsidRDefault="009C0E8B" w:rsidP="002C5B83">
            <w:pPr>
              <w:spacing w:before="120" w:after="120" w:line="240" w:lineRule="auto"/>
              <w:jc w:val="both"/>
              <w:rPr>
                <w:rFonts w:ascii="Times New Roman" w:hAnsi="Times New Roman"/>
                <w:color w:val="000000"/>
                <w:spacing w:val="-2"/>
                <w:highlight w:val="green"/>
              </w:rPr>
            </w:pPr>
            <w:r w:rsidRPr="00282CF3">
              <w:rPr>
                <w:rFonts w:ascii="Times New Roman" w:hAnsi="Times New Roman"/>
                <w:b/>
                <w:bCs/>
                <w:color w:val="000000"/>
                <w:spacing w:val="-2"/>
              </w:rPr>
              <w:t xml:space="preserve">Kwota ok. 11,25 mld zł obliczona została z rozłożeniem kosztów systemu do 2045 roku. Dla porównania, zgodnie z szacunkami </w:t>
            </w:r>
            <w:proofErr w:type="spellStart"/>
            <w:r w:rsidRPr="00282CF3">
              <w:rPr>
                <w:rFonts w:ascii="Times New Roman" w:hAnsi="Times New Roman"/>
                <w:b/>
                <w:bCs/>
                <w:color w:val="000000"/>
                <w:spacing w:val="-2"/>
              </w:rPr>
              <w:t>MKiŚ</w:t>
            </w:r>
            <w:proofErr w:type="spellEnd"/>
            <w:r w:rsidRPr="00282CF3">
              <w:rPr>
                <w:rFonts w:ascii="Times New Roman" w:hAnsi="Times New Roman"/>
                <w:b/>
                <w:bCs/>
                <w:color w:val="000000"/>
                <w:spacing w:val="-2"/>
              </w:rPr>
              <w:t xml:space="preserve"> k</w:t>
            </w:r>
            <w:r w:rsidR="002A3E48" w:rsidRPr="00282CF3">
              <w:rPr>
                <w:rFonts w:ascii="Times New Roman" w:hAnsi="Times New Roman"/>
                <w:b/>
                <w:bCs/>
                <w:color w:val="000000"/>
                <w:spacing w:val="-2"/>
              </w:rPr>
              <w:t xml:space="preserve">oszt </w:t>
            </w:r>
            <w:r w:rsidRPr="00282CF3">
              <w:rPr>
                <w:rFonts w:ascii="Times New Roman" w:hAnsi="Times New Roman"/>
                <w:b/>
                <w:bCs/>
                <w:color w:val="000000"/>
                <w:spacing w:val="-2"/>
              </w:rPr>
              <w:t xml:space="preserve">wsparcia budowy </w:t>
            </w:r>
            <w:r w:rsidR="00B54419" w:rsidRPr="00282CF3">
              <w:rPr>
                <w:rFonts w:ascii="Times New Roman" w:hAnsi="Times New Roman"/>
                <w:b/>
                <w:bCs/>
                <w:color w:val="000000"/>
                <w:spacing w:val="-2"/>
              </w:rPr>
              <w:t>nowych jednostek wytwórczych</w:t>
            </w:r>
            <w:r w:rsidRPr="00282CF3">
              <w:rPr>
                <w:rFonts w:ascii="Times New Roman" w:hAnsi="Times New Roman"/>
                <w:b/>
                <w:bCs/>
                <w:color w:val="000000"/>
                <w:spacing w:val="-2"/>
              </w:rPr>
              <w:t xml:space="preserve"> o tej samej mocy</w:t>
            </w:r>
            <w:r w:rsidR="002A3E48" w:rsidRPr="00282CF3">
              <w:rPr>
                <w:rFonts w:ascii="Times New Roman" w:hAnsi="Times New Roman"/>
                <w:b/>
                <w:bCs/>
                <w:color w:val="000000"/>
                <w:spacing w:val="-2"/>
              </w:rPr>
              <w:t xml:space="preserve">, które musiałyby zastąpić </w:t>
            </w:r>
            <w:r w:rsidR="00B54419" w:rsidRPr="00282CF3">
              <w:rPr>
                <w:rFonts w:ascii="Times New Roman" w:hAnsi="Times New Roman"/>
                <w:b/>
                <w:bCs/>
                <w:color w:val="000000"/>
                <w:spacing w:val="-2"/>
              </w:rPr>
              <w:t xml:space="preserve">jednostki wycofane </w:t>
            </w:r>
            <w:r w:rsidR="002A3E48" w:rsidRPr="00282CF3">
              <w:rPr>
                <w:rFonts w:ascii="Times New Roman" w:hAnsi="Times New Roman"/>
                <w:b/>
                <w:bCs/>
                <w:color w:val="000000"/>
                <w:spacing w:val="-2"/>
                <w:u w:val="single"/>
              </w:rPr>
              <w:t xml:space="preserve">wyniósłby ponad </w:t>
            </w:r>
            <w:r w:rsidRPr="00282CF3">
              <w:rPr>
                <w:rFonts w:ascii="Times New Roman" w:hAnsi="Times New Roman"/>
                <w:b/>
                <w:bCs/>
                <w:color w:val="000000"/>
                <w:spacing w:val="-2"/>
                <w:u w:val="single"/>
              </w:rPr>
              <w:t xml:space="preserve">ok. 28,4 mld </w:t>
            </w:r>
            <w:r w:rsidR="002A3E48" w:rsidRPr="00282CF3">
              <w:rPr>
                <w:rFonts w:ascii="Times New Roman" w:hAnsi="Times New Roman"/>
                <w:b/>
                <w:bCs/>
                <w:color w:val="000000"/>
                <w:spacing w:val="-2"/>
                <w:u w:val="single"/>
              </w:rPr>
              <w:t>złotych.</w:t>
            </w:r>
            <w:r w:rsidR="002A3E48" w:rsidRPr="00282CF3">
              <w:rPr>
                <w:rFonts w:ascii="Times New Roman" w:hAnsi="Times New Roman"/>
                <w:b/>
                <w:bCs/>
                <w:color w:val="000000"/>
                <w:spacing w:val="-2"/>
              </w:rPr>
              <w:t xml:space="preserve"> </w:t>
            </w:r>
            <w:r w:rsidRPr="00282CF3">
              <w:rPr>
                <w:rFonts w:ascii="Times New Roman" w:hAnsi="Times New Roman"/>
                <w:color w:val="000000"/>
                <w:spacing w:val="-2"/>
              </w:rPr>
              <w:t>Różnica między</w:t>
            </w:r>
            <w:r w:rsidRPr="00282CF3">
              <w:rPr>
                <w:rFonts w:ascii="Times New Roman" w:hAnsi="Times New Roman"/>
                <w:b/>
                <w:bCs/>
                <w:color w:val="000000"/>
                <w:spacing w:val="-2"/>
              </w:rPr>
              <w:t xml:space="preserve"> </w:t>
            </w:r>
            <w:r w:rsidR="00282CF3">
              <w:rPr>
                <w:rFonts w:ascii="Times New Roman" w:hAnsi="Times New Roman"/>
                <w:color w:val="000000"/>
                <w:spacing w:val="-2"/>
              </w:rPr>
              <w:t xml:space="preserve">kosztami wynosi zatem ponad 150%. Dzięki planowanemu rozwiązaniu możliwe będzie przeznaczenie zaoszczędzonych w ten sposób kwot na kolejne, nowe moce wytwórcze w OZE. </w:t>
            </w:r>
          </w:p>
          <w:p w14:paraId="68ED7918" w14:textId="01F483F5" w:rsidR="002A3E48" w:rsidRPr="00AF1C2E" w:rsidRDefault="002A3E48" w:rsidP="00AF1C2E">
            <w:pPr>
              <w:spacing w:after="120" w:line="240" w:lineRule="auto"/>
              <w:jc w:val="both"/>
              <w:rPr>
                <w:rFonts w:ascii="Times New Roman" w:hAnsi="Times New Roman"/>
                <w:color w:val="000000"/>
              </w:rPr>
            </w:pPr>
            <w:r>
              <w:rPr>
                <w:rFonts w:ascii="Times New Roman" w:hAnsi="Times New Roman"/>
                <w:color w:val="000000"/>
              </w:rPr>
              <w:t xml:space="preserve">W załącznikach do OSR przedstawiono założenia służące do estymacji wysokości udzielonej pomocy publicznej a także rozłożenie w czasie (lata) </w:t>
            </w:r>
            <w:r w:rsidR="006C01DB">
              <w:rPr>
                <w:rFonts w:ascii="Times New Roman" w:hAnsi="Times New Roman"/>
                <w:color w:val="000000"/>
              </w:rPr>
              <w:t xml:space="preserve">mocy (w MW) zainstalowanych instalacji odnawialnych źródeł energii wchodzących do systemów wsparcia modernizacyjnego lub </w:t>
            </w:r>
            <w:r w:rsidR="00012E65">
              <w:rPr>
                <w:rFonts w:ascii="Times New Roman" w:hAnsi="Times New Roman"/>
                <w:color w:val="000000"/>
              </w:rPr>
              <w:t>operacyjnego</w:t>
            </w:r>
            <w:r w:rsidR="006C01DB">
              <w:rPr>
                <w:rFonts w:ascii="Times New Roman" w:hAnsi="Times New Roman"/>
                <w:color w:val="000000"/>
              </w:rPr>
              <w:t xml:space="preserve"> i utrzymywanych tym samym w krajowym systemie elektroenergetycznym</w:t>
            </w:r>
            <w:r>
              <w:rPr>
                <w:rFonts w:ascii="Times New Roman" w:hAnsi="Times New Roman"/>
                <w:color w:val="000000"/>
              </w:rPr>
              <w:t xml:space="preserve">. </w:t>
            </w:r>
          </w:p>
          <w:p w14:paraId="51D60611" w14:textId="50D01FBC" w:rsidR="00CE48B6" w:rsidRPr="00D579A1" w:rsidRDefault="002C5B83" w:rsidP="008B2187">
            <w:pPr>
              <w:spacing w:line="240" w:lineRule="auto"/>
              <w:jc w:val="both"/>
              <w:rPr>
                <w:rFonts w:ascii="Times New Roman" w:hAnsi="Times New Roman"/>
                <w:b/>
                <w:bCs/>
                <w:color w:val="000000"/>
                <w:u w:val="single"/>
              </w:rPr>
            </w:pPr>
            <w:r w:rsidRPr="00D579A1">
              <w:rPr>
                <w:rFonts w:ascii="Times New Roman" w:hAnsi="Times New Roman"/>
                <w:b/>
                <w:bCs/>
                <w:color w:val="000000"/>
                <w:u w:val="single"/>
              </w:rPr>
              <w:t>V</w:t>
            </w:r>
            <w:r w:rsidR="007538EF">
              <w:rPr>
                <w:rFonts w:ascii="Times New Roman" w:hAnsi="Times New Roman"/>
                <w:b/>
                <w:bCs/>
                <w:color w:val="000000"/>
                <w:u w:val="single"/>
              </w:rPr>
              <w:t>I</w:t>
            </w:r>
            <w:r w:rsidRPr="00D579A1">
              <w:rPr>
                <w:rFonts w:ascii="Times New Roman" w:hAnsi="Times New Roman"/>
                <w:b/>
                <w:bCs/>
                <w:color w:val="000000"/>
                <w:u w:val="single"/>
              </w:rPr>
              <w:t xml:space="preserve">I. </w:t>
            </w:r>
            <w:r w:rsidR="00CE48B6" w:rsidRPr="00D579A1">
              <w:rPr>
                <w:rFonts w:ascii="Times New Roman" w:hAnsi="Times New Roman"/>
                <w:b/>
                <w:bCs/>
                <w:color w:val="000000"/>
                <w:u w:val="single"/>
              </w:rPr>
              <w:t>Zmiany w zakresie morskiej energetyki wiatrowej</w:t>
            </w:r>
          </w:p>
          <w:p w14:paraId="7C23550E" w14:textId="4322EC93" w:rsidR="004B458B" w:rsidRPr="00CE48B6" w:rsidRDefault="00CE48B6" w:rsidP="00611BCB">
            <w:pPr>
              <w:spacing w:after="120" w:line="240" w:lineRule="auto"/>
              <w:jc w:val="both"/>
              <w:rPr>
                <w:rFonts w:ascii="Times New Roman" w:hAnsi="Times New Roman"/>
                <w:color w:val="000000"/>
              </w:rPr>
            </w:pPr>
            <w:r>
              <w:rPr>
                <w:rFonts w:ascii="Times New Roman" w:hAnsi="Times New Roman"/>
                <w:color w:val="000000"/>
              </w:rPr>
              <w:t xml:space="preserve">Nowelizacja ustawy </w:t>
            </w:r>
            <w:proofErr w:type="spellStart"/>
            <w:r>
              <w:rPr>
                <w:rFonts w:ascii="Times New Roman" w:hAnsi="Times New Roman"/>
                <w:color w:val="000000"/>
              </w:rPr>
              <w:t>offshore</w:t>
            </w:r>
            <w:proofErr w:type="spellEnd"/>
            <w:r>
              <w:rPr>
                <w:rFonts w:ascii="Times New Roman" w:hAnsi="Times New Roman"/>
                <w:color w:val="000000"/>
              </w:rPr>
              <w:t xml:space="preserve"> oraz ustawy o obszarach morskich Rzeczypospolitej Polskiej i administracji morskiej nie </w:t>
            </w:r>
            <w:r w:rsidR="00392888">
              <w:rPr>
                <w:rFonts w:ascii="Times New Roman" w:hAnsi="Times New Roman"/>
                <w:color w:val="000000"/>
              </w:rPr>
              <w:t xml:space="preserve">będą miały wpływu na sektor finansów publicznych. </w:t>
            </w:r>
          </w:p>
        </w:tc>
      </w:tr>
      <w:tr w:rsidR="008B2187" w:rsidRPr="00687093" w14:paraId="7B90BCD9" w14:textId="77777777" w:rsidTr="00B370E5">
        <w:trPr>
          <w:gridAfter w:val="1"/>
          <w:wAfter w:w="10" w:type="dxa"/>
          <w:trHeight w:val="345"/>
        </w:trPr>
        <w:tc>
          <w:tcPr>
            <w:tcW w:w="10937" w:type="dxa"/>
            <w:gridSpan w:val="29"/>
            <w:shd w:val="clear" w:color="auto" w:fill="99CCFF"/>
          </w:tcPr>
          <w:p w14:paraId="23F14FD7" w14:textId="4B77D453" w:rsidR="008B2187" w:rsidRPr="00687093" w:rsidRDefault="008B2187" w:rsidP="00245A3F">
            <w:pPr>
              <w:numPr>
                <w:ilvl w:val="0"/>
                <w:numId w:val="3"/>
              </w:numPr>
              <w:spacing w:line="240" w:lineRule="auto"/>
              <w:jc w:val="both"/>
              <w:rPr>
                <w:rFonts w:ascii="Times New Roman" w:hAnsi="Times New Roman"/>
                <w:b/>
                <w:color w:val="000000"/>
                <w:spacing w:val="-2"/>
              </w:rPr>
            </w:pPr>
            <w:r w:rsidRPr="00687093">
              <w:rPr>
                <w:rFonts w:ascii="Times New Roman" w:eastAsia="Times New Roman" w:hAnsi="Times New Roman"/>
                <w:b/>
                <w:lang w:eastAsia="pl-PL"/>
              </w:rPr>
              <w:lastRenderedPageBreak/>
              <w:t xml:space="preserve">Wpływ na konkurencyjność gospodarki i przedsiębiorczość, w tym funkcjonowanie przedsiębiorców, oraz na rodzinę, obywateli i gospodarstwa domowe, a także </w:t>
            </w:r>
            <w:r w:rsidR="00245A3F" w:rsidRPr="00687093">
              <w:rPr>
                <w:rFonts w:ascii="Times New Roman" w:eastAsia="Times New Roman" w:hAnsi="Times New Roman"/>
                <w:b/>
                <w:lang w:eastAsia="pl-PL"/>
              </w:rPr>
              <w:t>os</w:t>
            </w:r>
            <w:r w:rsidR="00245A3F">
              <w:rPr>
                <w:rFonts w:ascii="Times New Roman" w:eastAsia="Times New Roman" w:hAnsi="Times New Roman"/>
                <w:b/>
                <w:lang w:eastAsia="pl-PL"/>
              </w:rPr>
              <w:t>oby</w:t>
            </w:r>
            <w:r w:rsidR="00245A3F" w:rsidRPr="00687093">
              <w:rPr>
                <w:rFonts w:ascii="Times New Roman" w:eastAsia="Times New Roman" w:hAnsi="Times New Roman"/>
                <w:b/>
                <w:lang w:eastAsia="pl-PL"/>
              </w:rPr>
              <w:t xml:space="preserve"> niepełnosprawn</w:t>
            </w:r>
            <w:r w:rsidR="00245A3F">
              <w:rPr>
                <w:rFonts w:ascii="Times New Roman" w:eastAsia="Times New Roman" w:hAnsi="Times New Roman"/>
                <w:b/>
                <w:lang w:eastAsia="pl-PL"/>
              </w:rPr>
              <w:t>e</w:t>
            </w:r>
            <w:r w:rsidR="00245A3F" w:rsidRPr="00687093">
              <w:rPr>
                <w:rFonts w:ascii="Times New Roman" w:eastAsia="Times New Roman" w:hAnsi="Times New Roman"/>
                <w:b/>
                <w:lang w:eastAsia="pl-PL"/>
              </w:rPr>
              <w:t xml:space="preserve"> </w:t>
            </w:r>
            <w:r w:rsidRPr="00687093">
              <w:rPr>
                <w:rFonts w:ascii="Times New Roman" w:eastAsia="Times New Roman" w:hAnsi="Times New Roman"/>
                <w:b/>
                <w:lang w:eastAsia="pl-PL"/>
              </w:rPr>
              <w:t xml:space="preserve">oraz </w:t>
            </w:r>
            <w:r w:rsidR="00245A3F" w:rsidRPr="00687093">
              <w:rPr>
                <w:rFonts w:ascii="Times New Roman" w:eastAsia="Times New Roman" w:hAnsi="Times New Roman"/>
                <w:b/>
                <w:lang w:eastAsia="pl-PL"/>
              </w:rPr>
              <w:t>os</w:t>
            </w:r>
            <w:r w:rsidR="00245A3F">
              <w:rPr>
                <w:rFonts w:ascii="Times New Roman" w:eastAsia="Times New Roman" w:hAnsi="Times New Roman"/>
                <w:b/>
                <w:lang w:eastAsia="pl-PL"/>
              </w:rPr>
              <w:t>oby</w:t>
            </w:r>
            <w:r w:rsidR="00245A3F" w:rsidRPr="00687093">
              <w:rPr>
                <w:rFonts w:ascii="Times New Roman" w:eastAsia="Times New Roman" w:hAnsi="Times New Roman"/>
                <w:b/>
                <w:lang w:eastAsia="pl-PL"/>
              </w:rPr>
              <w:t xml:space="preserve"> starsz</w:t>
            </w:r>
            <w:r w:rsidR="00245A3F">
              <w:rPr>
                <w:rFonts w:ascii="Times New Roman" w:eastAsia="Times New Roman" w:hAnsi="Times New Roman"/>
                <w:b/>
                <w:lang w:eastAsia="pl-PL"/>
              </w:rPr>
              <w:t>e</w:t>
            </w:r>
            <w:r w:rsidR="00245A3F" w:rsidRPr="00687093">
              <w:rPr>
                <w:rFonts w:ascii="Times New Roman" w:hAnsi="Times New Roman"/>
                <w:b/>
                <w:color w:val="000000"/>
              </w:rPr>
              <w:t xml:space="preserve"> </w:t>
            </w:r>
          </w:p>
        </w:tc>
      </w:tr>
      <w:tr w:rsidR="008B2187" w:rsidRPr="00687093" w14:paraId="60BF2CD7" w14:textId="77777777" w:rsidTr="00B370E5">
        <w:trPr>
          <w:gridAfter w:val="1"/>
          <w:wAfter w:w="10" w:type="dxa"/>
          <w:trHeight w:val="142"/>
        </w:trPr>
        <w:tc>
          <w:tcPr>
            <w:tcW w:w="10937" w:type="dxa"/>
            <w:gridSpan w:val="29"/>
            <w:shd w:val="clear" w:color="auto" w:fill="FFFFFF"/>
          </w:tcPr>
          <w:p w14:paraId="7AA9D78D"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Skutki</w:t>
            </w:r>
          </w:p>
        </w:tc>
      </w:tr>
      <w:tr w:rsidR="008B2187" w:rsidRPr="00687093" w14:paraId="1C9550D0" w14:textId="77777777" w:rsidTr="008B0DAC">
        <w:trPr>
          <w:gridAfter w:val="1"/>
          <w:wAfter w:w="10" w:type="dxa"/>
          <w:trHeight w:val="142"/>
        </w:trPr>
        <w:tc>
          <w:tcPr>
            <w:tcW w:w="3969" w:type="dxa"/>
            <w:gridSpan w:val="7"/>
            <w:shd w:val="clear" w:color="auto" w:fill="FFFFFF"/>
          </w:tcPr>
          <w:p w14:paraId="21280E3F"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Czas w latach od wejścia w życie zmian</w:t>
            </w:r>
          </w:p>
        </w:tc>
        <w:tc>
          <w:tcPr>
            <w:tcW w:w="856" w:type="dxa"/>
            <w:gridSpan w:val="2"/>
            <w:shd w:val="clear" w:color="auto" w:fill="FFFFFF"/>
          </w:tcPr>
          <w:p w14:paraId="18B74E1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4B3AD17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w:t>
            </w:r>
          </w:p>
        </w:tc>
        <w:tc>
          <w:tcPr>
            <w:tcW w:w="938" w:type="dxa"/>
            <w:gridSpan w:val="3"/>
            <w:shd w:val="clear" w:color="auto" w:fill="FFFFFF"/>
          </w:tcPr>
          <w:p w14:paraId="2A81D224"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2</w:t>
            </w:r>
          </w:p>
        </w:tc>
        <w:tc>
          <w:tcPr>
            <w:tcW w:w="937" w:type="dxa"/>
            <w:gridSpan w:val="5"/>
            <w:shd w:val="clear" w:color="auto" w:fill="FFFFFF"/>
          </w:tcPr>
          <w:p w14:paraId="51676CB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3</w:t>
            </w:r>
          </w:p>
        </w:tc>
        <w:tc>
          <w:tcPr>
            <w:tcW w:w="938" w:type="dxa"/>
            <w:gridSpan w:val="3"/>
            <w:shd w:val="clear" w:color="auto" w:fill="FFFFFF"/>
          </w:tcPr>
          <w:p w14:paraId="07C3A1AC"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5</w:t>
            </w:r>
          </w:p>
        </w:tc>
        <w:tc>
          <w:tcPr>
            <w:tcW w:w="938" w:type="dxa"/>
            <w:gridSpan w:val="3"/>
            <w:shd w:val="clear" w:color="auto" w:fill="FFFFFF"/>
          </w:tcPr>
          <w:p w14:paraId="771E057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10</w:t>
            </w:r>
          </w:p>
        </w:tc>
        <w:tc>
          <w:tcPr>
            <w:tcW w:w="1423" w:type="dxa"/>
            <w:shd w:val="clear" w:color="auto" w:fill="FFFFFF"/>
          </w:tcPr>
          <w:p w14:paraId="55C5B3F3" w14:textId="77777777" w:rsidR="008B2187" w:rsidRPr="00687093" w:rsidRDefault="008B2187" w:rsidP="008B2187">
            <w:pPr>
              <w:spacing w:line="240" w:lineRule="auto"/>
              <w:ind w:left="-92"/>
              <w:jc w:val="center"/>
              <w:rPr>
                <w:rFonts w:ascii="Times New Roman" w:hAnsi="Times New Roman"/>
                <w:i/>
                <w:color w:val="000000"/>
                <w:spacing w:val="-2"/>
              </w:rPr>
            </w:pPr>
            <w:r w:rsidRPr="00687093">
              <w:rPr>
                <w:rFonts w:ascii="Times New Roman" w:hAnsi="Times New Roman"/>
                <w:i/>
                <w:color w:val="000000"/>
                <w:spacing w:val="-2"/>
              </w:rPr>
              <w:t>Łącznie</w:t>
            </w:r>
            <w:r w:rsidRPr="00687093" w:rsidDel="0073273A">
              <w:rPr>
                <w:rFonts w:ascii="Times New Roman" w:hAnsi="Times New Roman"/>
                <w:i/>
                <w:color w:val="000000"/>
                <w:spacing w:val="-2"/>
              </w:rPr>
              <w:t xml:space="preserve"> </w:t>
            </w:r>
            <w:r w:rsidRPr="00687093">
              <w:rPr>
                <w:rFonts w:ascii="Times New Roman" w:hAnsi="Times New Roman"/>
                <w:i/>
                <w:color w:val="000000"/>
                <w:spacing w:val="-2"/>
              </w:rPr>
              <w:t>(0-10)</w:t>
            </w:r>
          </w:p>
        </w:tc>
      </w:tr>
      <w:tr w:rsidR="008B2187" w:rsidRPr="00687093" w14:paraId="262A7CEE" w14:textId="77777777" w:rsidTr="008B0DAC">
        <w:trPr>
          <w:gridAfter w:val="1"/>
          <w:wAfter w:w="10" w:type="dxa"/>
          <w:trHeight w:val="142"/>
        </w:trPr>
        <w:tc>
          <w:tcPr>
            <w:tcW w:w="1595" w:type="dxa"/>
            <w:vMerge w:val="restart"/>
            <w:shd w:val="clear" w:color="auto" w:fill="FFFFFF"/>
          </w:tcPr>
          <w:p w14:paraId="274A05BE"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W ujęciu pieniężnym</w:t>
            </w:r>
          </w:p>
          <w:p w14:paraId="5DCB1D1E" w14:textId="77777777" w:rsidR="008B2187" w:rsidRPr="00687093" w:rsidRDefault="008B2187" w:rsidP="008B2187">
            <w:pPr>
              <w:spacing w:line="240" w:lineRule="auto"/>
              <w:rPr>
                <w:rFonts w:ascii="Times New Roman" w:hAnsi="Times New Roman"/>
                <w:spacing w:val="-2"/>
              </w:rPr>
            </w:pPr>
            <w:r w:rsidRPr="00687093">
              <w:rPr>
                <w:rFonts w:ascii="Times New Roman" w:hAnsi="Times New Roman"/>
                <w:spacing w:val="-2"/>
              </w:rPr>
              <w:t xml:space="preserve">(w mln zł, </w:t>
            </w:r>
          </w:p>
          <w:p w14:paraId="5428F298" w14:textId="43655BF5" w:rsidR="008B2187" w:rsidRPr="00687093" w:rsidRDefault="008B2187" w:rsidP="008B2187">
            <w:pPr>
              <w:spacing w:line="240" w:lineRule="auto"/>
              <w:rPr>
                <w:rFonts w:ascii="Times New Roman" w:hAnsi="Times New Roman"/>
                <w:color w:val="000000"/>
              </w:rPr>
            </w:pPr>
            <w:r w:rsidRPr="00687093">
              <w:rPr>
                <w:rFonts w:ascii="Times New Roman" w:hAnsi="Times New Roman"/>
                <w:spacing w:val="-2"/>
              </w:rPr>
              <w:t xml:space="preserve">ceny stałe z </w:t>
            </w:r>
            <w:r>
              <w:rPr>
                <w:rFonts w:ascii="Times New Roman" w:hAnsi="Times New Roman"/>
                <w:spacing w:val="-2"/>
              </w:rPr>
              <w:t>2019</w:t>
            </w:r>
            <w:r w:rsidRPr="00687093">
              <w:rPr>
                <w:rFonts w:ascii="Times New Roman" w:hAnsi="Times New Roman"/>
                <w:spacing w:val="-2"/>
              </w:rPr>
              <w:t xml:space="preserve"> r.)</w:t>
            </w:r>
          </w:p>
        </w:tc>
        <w:tc>
          <w:tcPr>
            <w:tcW w:w="2374" w:type="dxa"/>
            <w:gridSpan w:val="6"/>
            <w:shd w:val="clear" w:color="auto" w:fill="FFFFFF"/>
          </w:tcPr>
          <w:p w14:paraId="41EFA43C"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duże przedsiębiorstwa</w:t>
            </w:r>
          </w:p>
        </w:tc>
        <w:tc>
          <w:tcPr>
            <w:tcW w:w="856" w:type="dxa"/>
            <w:gridSpan w:val="2"/>
            <w:shd w:val="clear" w:color="auto" w:fill="FFFFFF"/>
          </w:tcPr>
          <w:p w14:paraId="217C64A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3C2EC9E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6A04EF0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5A528AED"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BA88675"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7B3B009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21932CCD"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1224F061" w14:textId="77777777" w:rsidTr="008B0DAC">
        <w:trPr>
          <w:gridAfter w:val="1"/>
          <w:wAfter w:w="10" w:type="dxa"/>
          <w:trHeight w:val="142"/>
        </w:trPr>
        <w:tc>
          <w:tcPr>
            <w:tcW w:w="1595" w:type="dxa"/>
            <w:vMerge/>
            <w:shd w:val="clear" w:color="auto" w:fill="FFFFFF"/>
          </w:tcPr>
          <w:p w14:paraId="470782BD"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062F630E"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sektor mikro-, małych i średnich przedsiębiorstw</w:t>
            </w:r>
          </w:p>
        </w:tc>
        <w:tc>
          <w:tcPr>
            <w:tcW w:w="856" w:type="dxa"/>
            <w:gridSpan w:val="2"/>
            <w:shd w:val="clear" w:color="auto" w:fill="FFFFFF"/>
          </w:tcPr>
          <w:p w14:paraId="62F7D41E" w14:textId="243AEB61"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5"/>
            <w:shd w:val="clear" w:color="auto" w:fill="FFFFFF"/>
          </w:tcPr>
          <w:p w14:paraId="58918067" w14:textId="47F57349"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60F7D2C5" w14:textId="003EE6BB"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7" w:type="dxa"/>
            <w:gridSpan w:val="5"/>
            <w:shd w:val="clear" w:color="auto" w:fill="FFFFFF"/>
          </w:tcPr>
          <w:p w14:paraId="1E5DCA3A" w14:textId="4120C6B6"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0F23D3D0" w14:textId="7E251031"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938" w:type="dxa"/>
            <w:gridSpan w:val="3"/>
            <w:shd w:val="clear" w:color="auto" w:fill="FFFFFF"/>
          </w:tcPr>
          <w:p w14:paraId="6C8183A3" w14:textId="4EFFF962" w:rsidR="008B2187" w:rsidRPr="00687093" w:rsidRDefault="008B2187" w:rsidP="008B2187">
            <w:pPr>
              <w:spacing w:line="240" w:lineRule="auto"/>
              <w:jc w:val="center"/>
              <w:rPr>
                <w:rFonts w:ascii="Times New Roman" w:hAnsi="Times New Roman"/>
                <w:color w:val="000000"/>
              </w:rPr>
            </w:pPr>
            <w:r w:rsidRPr="003879A9">
              <w:rPr>
                <w:rFonts w:ascii="Times New Roman" w:hAnsi="Times New Roman"/>
                <w:color w:val="000000"/>
                <w:spacing w:val="-2"/>
              </w:rPr>
              <w:t>0</w:t>
            </w:r>
          </w:p>
        </w:tc>
        <w:tc>
          <w:tcPr>
            <w:tcW w:w="1423" w:type="dxa"/>
            <w:shd w:val="clear" w:color="auto" w:fill="FFFFFF"/>
          </w:tcPr>
          <w:p w14:paraId="3FA40372" w14:textId="68683F78" w:rsidR="008B2187" w:rsidRPr="00687093" w:rsidRDefault="008B2187" w:rsidP="008B2187">
            <w:pPr>
              <w:spacing w:line="240" w:lineRule="auto"/>
              <w:jc w:val="center"/>
              <w:rPr>
                <w:rFonts w:ascii="Times New Roman" w:hAnsi="Times New Roman"/>
                <w:color w:val="000000"/>
                <w:spacing w:val="-2"/>
              </w:rPr>
            </w:pPr>
            <w:r>
              <w:rPr>
                <w:rFonts w:ascii="Times New Roman" w:hAnsi="Times New Roman"/>
                <w:color w:val="000000"/>
                <w:spacing w:val="-2"/>
              </w:rPr>
              <w:t>0</w:t>
            </w:r>
          </w:p>
        </w:tc>
      </w:tr>
      <w:tr w:rsidR="008B2187" w:rsidRPr="00687093" w14:paraId="69C908B3" w14:textId="77777777" w:rsidTr="008B0DAC">
        <w:trPr>
          <w:gridAfter w:val="1"/>
          <w:wAfter w:w="10" w:type="dxa"/>
          <w:trHeight w:val="142"/>
        </w:trPr>
        <w:tc>
          <w:tcPr>
            <w:tcW w:w="1595" w:type="dxa"/>
            <w:vMerge/>
            <w:shd w:val="clear" w:color="auto" w:fill="FFFFFF"/>
          </w:tcPr>
          <w:p w14:paraId="2E26630D"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1B2AAD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rPr>
              <w:t>rodzina, obywatele oraz gospodarstwa domowe</w:t>
            </w:r>
          </w:p>
        </w:tc>
        <w:tc>
          <w:tcPr>
            <w:tcW w:w="856" w:type="dxa"/>
            <w:gridSpan w:val="2"/>
            <w:shd w:val="clear" w:color="auto" w:fill="FFFFFF"/>
          </w:tcPr>
          <w:p w14:paraId="0E50A7A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473CE904"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6C42A8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2E9F477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F86823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563D6E56"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0DBEBF9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2F47C05F" w14:textId="77777777" w:rsidTr="008B0DAC">
        <w:trPr>
          <w:gridAfter w:val="1"/>
          <w:wAfter w:w="10" w:type="dxa"/>
          <w:trHeight w:val="142"/>
        </w:trPr>
        <w:tc>
          <w:tcPr>
            <w:tcW w:w="1595" w:type="dxa"/>
            <w:vMerge/>
            <w:shd w:val="clear" w:color="auto" w:fill="FFFFFF"/>
          </w:tcPr>
          <w:p w14:paraId="605FBD1A"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53E674DF"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niepełnosprawne</w:t>
            </w:r>
          </w:p>
        </w:tc>
        <w:tc>
          <w:tcPr>
            <w:tcW w:w="856" w:type="dxa"/>
            <w:gridSpan w:val="2"/>
            <w:shd w:val="clear" w:color="auto" w:fill="FFFFFF"/>
          </w:tcPr>
          <w:p w14:paraId="4B1E7477"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6A66D0D2"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565EF18"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3292274A"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2BFA04DF"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3199A153"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6DCEBD7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035E9F2B" w14:textId="77777777" w:rsidTr="008B0DAC">
        <w:trPr>
          <w:gridAfter w:val="1"/>
          <w:wAfter w:w="10" w:type="dxa"/>
          <w:trHeight w:val="142"/>
        </w:trPr>
        <w:tc>
          <w:tcPr>
            <w:tcW w:w="1595" w:type="dxa"/>
            <w:vMerge/>
            <w:shd w:val="clear" w:color="auto" w:fill="FFFFFF"/>
          </w:tcPr>
          <w:p w14:paraId="6EABC84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4F2EA4AE"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starsze</w:t>
            </w:r>
          </w:p>
        </w:tc>
        <w:tc>
          <w:tcPr>
            <w:tcW w:w="856" w:type="dxa"/>
            <w:gridSpan w:val="2"/>
            <w:shd w:val="clear" w:color="auto" w:fill="FFFFFF"/>
          </w:tcPr>
          <w:p w14:paraId="4B70883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5"/>
            <w:shd w:val="clear" w:color="auto" w:fill="FFFFFF"/>
          </w:tcPr>
          <w:p w14:paraId="372794FB"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048B2E97"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7" w:type="dxa"/>
            <w:gridSpan w:val="5"/>
            <w:shd w:val="clear" w:color="auto" w:fill="FFFFFF"/>
          </w:tcPr>
          <w:p w14:paraId="6A86FC51"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578AA8BC"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938" w:type="dxa"/>
            <w:gridSpan w:val="3"/>
            <w:shd w:val="clear" w:color="auto" w:fill="FFFFFF"/>
          </w:tcPr>
          <w:p w14:paraId="7D78110E" w14:textId="77777777" w:rsidR="008B2187" w:rsidRPr="00687093" w:rsidRDefault="008B2187" w:rsidP="008B2187">
            <w:pPr>
              <w:spacing w:line="240" w:lineRule="auto"/>
              <w:jc w:val="center"/>
              <w:rPr>
                <w:rFonts w:ascii="Times New Roman" w:hAnsi="Times New Roman"/>
                <w:color w:val="000000"/>
              </w:rPr>
            </w:pPr>
            <w:r w:rsidRPr="00687093">
              <w:rPr>
                <w:rFonts w:ascii="Times New Roman" w:hAnsi="Times New Roman"/>
                <w:color w:val="000000"/>
              </w:rPr>
              <w:t>0</w:t>
            </w:r>
          </w:p>
        </w:tc>
        <w:tc>
          <w:tcPr>
            <w:tcW w:w="1423" w:type="dxa"/>
            <w:shd w:val="clear" w:color="auto" w:fill="FFFFFF"/>
          </w:tcPr>
          <w:p w14:paraId="02334159" w14:textId="77777777" w:rsidR="008B2187" w:rsidRPr="00687093" w:rsidRDefault="008B2187" w:rsidP="008B2187">
            <w:pPr>
              <w:spacing w:line="240" w:lineRule="auto"/>
              <w:jc w:val="center"/>
              <w:rPr>
                <w:rFonts w:ascii="Times New Roman" w:hAnsi="Times New Roman"/>
                <w:color w:val="000000"/>
                <w:spacing w:val="-2"/>
              </w:rPr>
            </w:pPr>
            <w:r w:rsidRPr="00687093">
              <w:rPr>
                <w:rFonts w:ascii="Times New Roman" w:hAnsi="Times New Roman"/>
                <w:color w:val="000000"/>
                <w:spacing w:val="-2"/>
              </w:rPr>
              <w:t>0</w:t>
            </w:r>
          </w:p>
        </w:tc>
      </w:tr>
      <w:tr w:rsidR="008B2187" w:rsidRPr="00687093" w14:paraId="2BA91261" w14:textId="77777777" w:rsidTr="008B0DAC">
        <w:trPr>
          <w:gridAfter w:val="1"/>
          <w:wAfter w:w="10" w:type="dxa"/>
          <w:trHeight w:val="142"/>
        </w:trPr>
        <w:tc>
          <w:tcPr>
            <w:tcW w:w="1595" w:type="dxa"/>
            <w:vMerge w:val="restart"/>
            <w:shd w:val="clear" w:color="auto" w:fill="FFFFFF"/>
          </w:tcPr>
          <w:p w14:paraId="600CF210"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W ujęciu niepieniężnym</w:t>
            </w:r>
          </w:p>
        </w:tc>
        <w:tc>
          <w:tcPr>
            <w:tcW w:w="2374" w:type="dxa"/>
            <w:gridSpan w:val="6"/>
            <w:shd w:val="clear" w:color="auto" w:fill="FFFFFF"/>
          </w:tcPr>
          <w:p w14:paraId="6BAF3E8B"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duże przedsiębiorstwa</w:t>
            </w:r>
          </w:p>
        </w:tc>
        <w:tc>
          <w:tcPr>
            <w:tcW w:w="6968" w:type="dxa"/>
            <w:gridSpan w:val="22"/>
            <w:vMerge w:val="restart"/>
            <w:shd w:val="clear" w:color="auto" w:fill="FFFFFF"/>
          </w:tcPr>
          <w:p w14:paraId="66308D6B" w14:textId="77777777" w:rsidR="008B2187" w:rsidRDefault="008B2187" w:rsidP="008B2187">
            <w:pPr>
              <w:spacing w:after="120" w:line="240" w:lineRule="auto"/>
              <w:jc w:val="both"/>
              <w:rPr>
                <w:rFonts w:ascii="Times New Roman" w:hAnsi="Times New Roman"/>
              </w:rPr>
            </w:pPr>
            <w:r>
              <w:rPr>
                <w:rFonts w:ascii="Times New Roman" w:hAnsi="Times New Roman"/>
              </w:rPr>
              <w:t>Konieczność</w:t>
            </w:r>
            <w:r w:rsidRPr="00687093">
              <w:rPr>
                <w:rFonts w:ascii="Times New Roman" w:hAnsi="Times New Roman"/>
              </w:rPr>
              <w:t xml:space="preserve"> wybudowania licznych i rozproszonych terytorialnie zakładów,</w:t>
            </w:r>
            <w:r>
              <w:rPr>
                <w:rFonts w:ascii="Times New Roman" w:hAnsi="Times New Roman"/>
              </w:rPr>
              <w:t xml:space="preserve"> wpłynie</w:t>
            </w:r>
            <w:r w:rsidRPr="00687093">
              <w:rPr>
                <w:rFonts w:ascii="Times New Roman" w:hAnsi="Times New Roman"/>
              </w:rPr>
              <w:t xml:space="preserve"> na decentralizację dostaw gazu, stabilizując system i powodując zmniejszenie uzależnienia od importu tego surowca.</w:t>
            </w:r>
            <w:r>
              <w:rPr>
                <w:rFonts w:ascii="Times New Roman" w:hAnsi="Times New Roman"/>
              </w:rPr>
              <w:t xml:space="preserve"> </w:t>
            </w:r>
          </w:p>
          <w:p w14:paraId="2F35279D" w14:textId="77777777" w:rsidR="008B2187" w:rsidRDefault="008B2187" w:rsidP="008B2187">
            <w:pPr>
              <w:spacing w:after="120" w:line="240" w:lineRule="auto"/>
              <w:jc w:val="both"/>
              <w:rPr>
                <w:rFonts w:ascii="Times New Roman" w:hAnsi="Times New Roman"/>
              </w:rPr>
            </w:pPr>
            <w:r>
              <w:rPr>
                <w:rFonts w:ascii="Times New Roman" w:hAnsi="Times New Roman"/>
              </w:rPr>
              <w:t xml:space="preserve">Rozwój sektora </w:t>
            </w:r>
            <w:r w:rsidRPr="00687093">
              <w:rPr>
                <w:rStyle w:val="A9"/>
                <w:rFonts w:ascii="Times New Roman" w:hAnsi="Times New Roman" w:cs="Times New Roman"/>
              </w:rPr>
              <w:t xml:space="preserve">aktywizuje lokalną przedsiębiorczość dając impuls do rozwoju </w:t>
            </w:r>
            <w:r w:rsidRPr="00687093">
              <w:rPr>
                <w:rFonts w:ascii="Times New Roman" w:hAnsi="Times New Roman"/>
                <w:color w:val="000000"/>
              </w:rPr>
              <w:t>małych i średnich przedsiębiorstw</w:t>
            </w:r>
            <w:r w:rsidRPr="00687093">
              <w:rPr>
                <w:rStyle w:val="A9"/>
                <w:rFonts w:ascii="Times New Roman" w:hAnsi="Times New Roman" w:cs="Times New Roman"/>
              </w:rPr>
              <w:t xml:space="preserve">, </w:t>
            </w:r>
            <w:r w:rsidRPr="00687093">
              <w:rPr>
                <w:rFonts w:ascii="Times New Roman" w:hAnsi="Times New Roman"/>
              </w:rPr>
              <w:t xml:space="preserve">tworzy wartość dodaną w postaci nowych miejsc pracy w całym łańcuchu wartości, w zakresie realizacji </w:t>
            </w:r>
            <w:r w:rsidRPr="00687093">
              <w:rPr>
                <w:rStyle w:val="A9"/>
                <w:rFonts w:ascii="Times New Roman" w:hAnsi="Times New Roman" w:cs="Times New Roman"/>
              </w:rPr>
              <w:t xml:space="preserve">usług zewnętrznych koniecznych do funkcjonowania instalacji, </w:t>
            </w:r>
            <w:proofErr w:type="spellStart"/>
            <w:r w:rsidRPr="00687093">
              <w:rPr>
                <w:rStyle w:val="A9"/>
                <w:rFonts w:ascii="Times New Roman" w:hAnsi="Times New Roman" w:cs="Times New Roman"/>
              </w:rPr>
              <w:t>np</w:t>
            </w:r>
            <w:proofErr w:type="spellEnd"/>
            <w:r w:rsidRPr="00687093">
              <w:rPr>
                <w:rFonts w:ascii="Times New Roman" w:hAnsi="Times New Roman"/>
              </w:rPr>
              <w:t>: dostaw lokalnych surowców, handlu, budowy instalacji i produkcji komponentów i</w:t>
            </w:r>
            <w:r>
              <w:rPr>
                <w:rFonts w:ascii="Times New Roman" w:hAnsi="Times New Roman"/>
              </w:rPr>
              <w:t> </w:t>
            </w:r>
            <w:r w:rsidRPr="00687093">
              <w:rPr>
                <w:rFonts w:ascii="Times New Roman" w:hAnsi="Times New Roman"/>
              </w:rPr>
              <w:t>ich dostaw, usług planowania i doradztwa czy badania i rozwoju.</w:t>
            </w:r>
          </w:p>
          <w:p w14:paraId="12DDBAC6" w14:textId="77777777" w:rsidR="008B2187" w:rsidRDefault="008B2187" w:rsidP="008B2187">
            <w:pPr>
              <w:spacing w:after="120"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Możliwość inwestycji otrzymania wsparcia na realizacje inwestycji w wyspowe odnawialne źródła ciepła. </w:t>
            </w:r>
          </w:p>
          <w:p w14:paraId="04E90EC3" w14:textId="77777777" w:rsidR="008B2187" w:rsidRPr="004841BF"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inwestycji mającej na celu modernizację lub zmianę paliw lub sposobu wytwarzania ciepła w kierunku niskoemisyjnego.</w:t>
            </w:r>
          </w:p>
          <w:p w14:paraId="7BE81412" w14:textId="45F0AF1C" w:rsidR="008B2187" w:rsidRPr="004841BF"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poprawy kondycji finansowej.</w:t>
            </w:r>
          </w:p>
          <w:p w14:paraId="3CFF5D3F" w14:textId="22DFD706" w:rsidR="008B2187" w:rsidRPr="00687093" w:rsidRDefault="008B2187" w:rsidP="008B2187">
            <w:pPr>
              <w:spacing w:after="120" w:line="240" w:lineRule="auto"/>
              <w:jc w:val="both"/>
              <w:rPr>
                <w:rFonts w:ascii="Times New Roman" w:hAnsi="Times New Roman"/>
                <w:color w:val="000000"/>
                <w:spacing w:val="-2"/>
              </w:rPr>
            </w:pPr>
            <w:r w:rsidRPr="004841BF">
              <w:rPr>
                <w:rFonts w:ascii="Times New Roman" w:hAnsi="Times New Roman"/>
                <w:color w:val="000000"/>
                <w:spacing w:val="-2"/>
              </w:rPr>
              <w:t>Możliwość odejścia od kosztów związanych z paliwem węglowym.</w:t>
            </w:r>
          </w:p>
        </w:tc>
      </w:tr>
      <w:tr w:rsidR="008B2187" w:rsidRPr="00687093" w14:paraId="193E1AE9" w14:textId="77777777" w:rsidTr="008B0DAC">
        <w:trPr>
          <w:gridAfter w:val="1"/>
          <w:wAfter w:w="10" w:type="dxa"/>
          <w:trHeight w:val="142"/>
        </w:trPr>
        <w:tc>
          <w:tcPr>
            <w:tcW w:w="1595" w:type="dxa"/>
            <w:vMerge/>
            <w:shd w:val="clear" w:color="auto" w:fill="FFFFFF"/>
          </w:tcPr>
          <w:p w14:paraId="1032DA9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09F7E9E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sektor mikro-, małych i średnich przedsiębiorstw</w:t>
            </w:r>
          </w:p>
        </w:tc>
        <w:tc>
          <w:tcPr>
            <w:tcW w:w="6968" w:type="dxa"/>
            <w:gridSpan w:val="22"/>
            <w:vMerge/>
            <w:shd w:val="clear" w:color="auto" w:fill="FFFFFF"/>
          </w:tcPr>
          <w:p w14:paraId="06D44A96" w14:textId="0C74412F" w:rsidR="008B2187" w:rsidRPr="00687093" w:rsidRDefault="008B2187" w:rsidP="008B2187">
            <w:pPr>
              <w:spacing w:line="240" w:lineRule="auto"/>
              <w:rPr>
                <w:rFonts w:ascii="Times New Roman" w:hAnsi="Times New Roman"/>
                <w:color w:val="000000"/>
                <w:spacing w:val="-2"/>
              </w:rPr>
            </w:pPr>
          </w:p>
        </w:tc>
      </w:tr>
      <w:tr w:rsidR="008B2187" w:rsidRPr="00687093" w14:paraId="3729D3E9" w14:textId="77777777" w:rsidTr="008B0DAC">
        <w:trPr>
          <w:gridAfter w:val="1"/>
          <w:wAfter w:w="10" w:type="dxa"/>
          <w:trHeight w:val="596"/>
        </w:trPr>
        <w:tc>
          <w:tcPr>
            <w:tcW w:w="1595" w:type="dxa"/>
            <w:vMerge/>
            <w:shd w:val="clear" w:color="auto" w:fill="FFFFFF"/>
          </w:tcPr>
          <w:p w14:paraId="7E9B1BE1"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F8992A2" w14:textId="77777777" w:rsidR="008B2187" w:rsidRPr="00687093" w:rsidRDefault="008B2187" w:rsidP="008B2187">
            <w:pPr>
              <w:tabs>
                <w:tab w:val="right" w:pos="1936"/>
              </w:tabs>
              <w:spacing w:line="240" w:lineRule="auto"/>
              <w:rPr>
                <w:rFonts w:ascii="Times New Roman" w:hAnsi="Times New Roman"/>
                <w:color w:val="000000"/>
              </w:rPr>
            </w:pPr>
            <w:r w:rsidRPr="00687093">
              <w:rPr>
                <w:rFonts w:ascii="Times New Roman" w:hAnsi="Times New Roman"/>
              </w:rPr>
              <w:t>rodzina, obywatele oraz gospodarstwa domowe</w:t>
            </w:r>
            <w:r w:rsidRPr="00687093">
              <w:rPr>
                <w:rFonts w:ascii="Times New Roman" w:hAnsi="Times New Roman"/>
                <w:color w:val="000000"/>
              </w:rPr>
              <w:t xml:space="preserve"> </w:t>
            </w:r>
          </w:p>
        </w:tc>
        <w:tc>
          <w:tcPr>
            <w:tcW w:w="6968" w:type="dxa"/>
            <w:gridSpan w:val="22"/>
            <w:vMerge w:val="restart"/>
            <w:shd w:val="clear" w:color="auto" w:fill="FFFFFF"/>
          </w:tcPr>
          <w:p w14:paraId="354E07D5" w14:textId="4C8E9632" w:rsidR="008B2187" w:rsidRDefault="008B2187" w:rsidP="008B2187">
            <w:pPr>
              <w:spacing w:line="240" w:lineRule="auto"/>
              <w:jc w:val="both"/>
              <w:rPr>
                <w:rFonts w:ascii="Times New Roman" w:hAnsi="Times New Roman"/>
              </w:rPr>
            </w:pPr>
            <w:r>
              <w:rPr>
                <w:rFonts w:ascii="Times New Roman" w:hAnsi="Times New Roman"/>
              </w:rPr>
              <w:t>Wytwarzanie</w:t>
            </w:r>
            <w:r w:rsidRPr="00687093">
              <w:rPr>
                <w:rFonts w:ascii="Times New Roman" w:hAnsi="Times New Roman"/>
              </w:rPr>
              <w:t xml:space="preserve"> </w:t>
            </w:r>
            <w:proofErr w:type="spellStart"/>
            <w:r w:rsidRPr="00687093">
              <w:rPr>
                <w:rFonts w:ascii="Times New Roman" w:hAnsi="Times New Roman"/>
              </w:rPr>
              <w:t>biometanu</w:t>
            </w:r>
            <w:proofErr w:type="spellEnd"/>
            <w:r w:rsidRPr="00687093">
              <w:rPr>
                <w:rFonts w:ascii="Times New Roman" w:hAnsi="Times New Roman"/>
              </w:rPr>
              <w:t xml:space="preserve"> </w:t>
            </w:r>
            <w:r>
              <w:rPr>
                <w:rFonts w:ascii="Times New Roman" w:hAnsi="Times New Roman"/>
              </w:rPr>
              <w:t>wiąże się z realizacją celów</w:t>
            </w:r>
            <w:r w:rsidRPr="00687093">
              <w:rPr>
                <w:rFonts w:ascii="Times New Roman" w:hAnsi="Times New Roman"/>
              </w:rPr>
              <w:t xml:space="preserve"> gospodarki o obiegu zamkniętym („</w:t>
            </w:r>
            <w:proofErr w:type="spellStart"/>
            <w:r w:rsidRPr="00903698">
              <w:rPr>
                <w:rFonts w:ascii="Times New Roman" w:hAnsi="Times New Roman"/>
              </w:rPr>
              <w:t>circular</w:t>
            </w:r>
            <w:proofErr w:type="spellEnd"/>
            <w:r w:rsidRPr="00903698">
              <w:rPr>
                <w:rFonts w:ascii="Times New Roman" w:hAnsi="Times New Roman"/>
              </w:rPr>
              <w:t xml:space="preserve"> </w:t>
            </w:r>
            <w:proofErr w:type="spellStart"/>
            <w:r w:rsidRPr="00903698">
              <w:rPr>
                <w:rFonts w:ascii="Times New Roman" w:hAnsi="Times New Roman"/>
              </w:rPr>
              <w:t>economy</w:t>
            </w:r>
            <w:proofErr w:type="spellEnd"/>
            <w:r w:rsidRPr="00687093">
              <w:rPr>
                <w:rFonts w:ascii="Times New Roman" w:hAnsi="Times New Roman"/>
              </w:rPr>
              <w:t>”). Pozwoli to efektywnie zmniejszyć uciążliwości środowiskowe, a także koszty zagospodarowania bioodpadów i pozostałości komunalnych, rolniczych, z gospodarstw domowych oraz pochodzących z różnych gałęzi przemysłu spożywczego.</w:t>
            </w:r>
          </w:p>
          <w:p w14:paraId="7D4D4298" w14:textId="77777777" w:rsidR="008B2187" w:rsidRPr="0007224E" w:rsidRDefault="008B2187" w:rsidP="008B2187">
            <w:pPr>
              <w:spacing w:line="240" w:lineRule="auto"/>
              <w:rPr>
                <w:rFonts w:ascii="Times New Roman" w:hAnsi="Times New Roman"/>
                <w:color w:val="000000"/>
                <w:spacing w:val="-2"/>
                <w:sz w:val="21"/>
                <w:szCs w:val="21"/>
              </w:rPr>
            </w:pPr>
            <w:r w:rsidRPr="0007224E">
              <w:rPr>
                <w:rFonts w:ascii="Times New Roman" w:hAnsi="Times New Roman"/>
                <w:color w:val="000000"/>
                <w:spacing w:val="-2"/>
                <w:sz w:val="21"/>
                <w:szCs w:val="21"/>
              </w:rPr>
              <w:t>Zapewnienie ciągłości dostaw ciepła</w:t>
            </w:r>
            <w:r>
              <w:rPr>
                <w:rFonts w:ascii="Times New Roman" w:hAnsi="Times New Roman"/>
                <w:color w:val="000000"/>
                <w:spacing w:val="-2"/>
                <w:sz w:val="21"/>
                <w:szCs w:val="21"/>
              </w:rPr>
              <w:t>.</w:t>
            </w:r>
          </w:p>
          <w:p w14:paraId="7BCB091F" w14:textId="242B3476" w:rsidR="008B2187" w:rsidRPr="007C6D0B" w:rsidRDefault="008B2187" w:rsidP="004B458B">
            <w:pPr>
              <w:spacing w:after="120" w:line="240" w:lineRule="auto"/>
              <w:jc w:val="both"/>
              <w:rPr>
                <w:rFonts w:ascii="Times New Roman" w:hAnsi="Times New Roman"/>
              </w:rPr>
            </w:pPr>
            <w:r w:rsidRPr="0007224E">
              <w:rPr>
                <w:rFonts w:ascii="Times New Roman" w:hAnsi="Times New Roman"/>
                <w:color w:val="000000"/>
                <w:spacing w:val="-2"/>
                <w:sz w:val="21"/>
                <w:szCs w:val="21"/>
              </w:rPr>
              <w:t>Poprawa jakości powietrza</w:t>
            </w:r>
            <w:r>
              <w:rPr>
                <w:rFonts w:ascii="Times New Roman" w:hAnsi="Times New Roman"/>
                <w:color w:val="000000"/>
                <w:spacing w:val="-2"/>
                <w:sz w:val="21"/>
                <w:szCs w:val="21"/>
              </w:rPr>
              <w:t>.</w:t>
            </w:r>
          </w:p>
        </w:tc>
      </w:tr>
      <w:tr w:rsidR="008B2187" w:rsidRPr="00687093" w14:paraId="74BE012F" w14:textId="77777777" w:rsidTr="008B0DAC">
        <w:trPr>
          <w:gridAfter w:val="1"/>
          <w:wAfter w:w="10" w:type="dxa"/>
          <w:trHeight w:val="398"/>
        </w:trPr>
        <w:tc>
          <w:tcPr>
            <w:tcW w:w="1595" w:type="dxa"/>
            <w:vMerge/>
            <w:shd w:val="clear" w:color="auto" w:fill="FFFFFF"/>
          </w:tcPr>
          <w:p w14:paraId="5AB36FFA"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30DBBDF6"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niepełnosprawne</w:t>
            </w:r>
          </w:p>
        </w:tc>
        <w:tc>
          <w:tcPr>
            <w:tcW w:w="6968" w:type="dxa"/>
            <w:gridSpan w:val="22"/>
            <w:vMerge/>
            <w:shd w:val="clear" w:color="auto" w:fill="FFFFFF"/>
          </w:tcPr>
          <w:p w14:paraId="79134EAB" w14:textId="51933F19" w:rsidR="008B2187" w:rsidRPr="00687093" w:rsidRDefault="008B2187" w:rsidP="008B2187">
            <w:pPr>
              <w:spacing w:line="240" w:lineRule="auto"/>
              <w:rPr>
                <w:rFonts w:ascii="Times New Roman" w:hAnsi="Times New Roman"/>
                <w:color w:val="000000"/>
                <w:spacing w:val="-2"/>
              </w:rPr>
            </w:pPr>
          </w:p>
        </w:tc>
      </w:tr>
      <w:tr w:rsidR="008B2187" w:rsidRPr="00687093" w14:paraId="48C633DB" w14:textId="77777777" w:rsidTr="008B0DAC">
        <w:trPr>
          <w:gridAfter w:val="1"/>
          <w:wAfter w:w="10" w:type="dxa"/>
          <w:trHeight w:val="419"/>
        </w:trPr>
        <w:tc>
          <w:tcPr>
            <w:tcW w:w="1595" w:type="dxa"/>
            <w:vMerge/>
            <w:shd w:val="clear" w:color="auto" w:fill="FFFFFF"/>
          </w:tcPr>
          <w:p w14:paraId="38406D13" w14:textId="77777777" w:rsidR="008B2187" w:rsidRPr="00687093" w:rsidRDefault="008B2187" w:rsidP="008B2187">
            <w:pPr>
              <w:spacing w:line="240" w:lineRule="auto"/>
              <w:rPr>
                <w:rFonts w:ascii="Times New Roman" w:hAnsi="Times New Roman"/>
                <w:color w:val="000000"/>
              </w:rPr>
            </w:pPr>
          </w:p>
        </w:tc>
        <w:tc>
          <w:tcPr>
            <w:tcW w:w="2374" w:type="dxa"/>
            <w:gridSpan w:val="6"/>
            <w:shd w:val="clear" w:color="auto" w:fill="FFFFFF"/>
          </w:tcPr>
          <w:p w14:paraId="1AA53544" w14:textId="77777777" w:rsidR="008B2187" w:rsidRPr="00687093" w:rsidRDefault="008B2187" w:rsidP="008B2187">
            <w:pPr>
              <w:spacing w:line="240" w:lineRule="auto"/>
              <w:rPr>
                <w:rFonts w:ascii="Times New Roman" w:hAnsi="Times New Roman"/>
              </w:rPr>
            </w:pPr>
            <w:r w:rsidRPr="00687093">
              <w:rPr>
                <w:rFonts w:ascii="Times New Roman" w:hAnsi="Times New Roman"/>
              </w:rPr>
              <w:t>osoby starsze</w:t>
            </w:r>
          </w:p>
        </w:tc>
        <w:tc>
          <w:tcPr>
            <w:tcW w:w="6968" w:type="dxa"/>
            <w:gridSpan w:val="22"/>
            <w:vMerge/>
            <w:shd w:val="clear" w:color="auto" w:fill="FFFFFF"/>
          </w:tcPr>
          <w:p w14:paraId="4EF9307E" w14:textId="2A4E59C1" w:rsidR="008B2187" w:rsidRPr="00687093" w:rsidRDefault="008B2187" w:rsidP="008B2187">
            <w:pPr>
              <w:spacing w:line="240" w:lineRule="auto"/>
              <w:rPr>
                <w:rFonts w:ascii="Times New Roman" w:hAnsi="Times New Roman"/>
                <w:color w:val="000000"/>
                <w:spacing w:val="-2"/>
              </w:rPr>
            </w:pPr>
          </w:p>
        </w:tc>
      </w:tr>
      <w:tr w:rsidR="008B2187" w:rsidRPr="00687093" w14:paraId="18E97F56" w14:textId="77777777" w:rsidTr="008B0DAC">
        <w:trPr>
          <w:gridAfter w:val="1"/>
          <w:wAfter w:w="10" w:type="dxa"/>
          <w:trHeight w:val="142"/>
        </w:trPr>
        <w:tc>
          <w:tcPr>
            <w:tcW w:w="1595" w:type="dxa"/>
            <w:shd w:val="clear" w:color="auto" w:fill="FFFFFF"/>
          </w:tcPr>
          <w:p w14:paraId="76C0297A"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Niemierzalne</w:t>
            </w:r>
          </w:p>
        </w:tc>
        <w:tc>
          <w:tcPr>
            <w:tcW w:w="2374" w:type="dxa"/>
            <w:gridSpan w:val="6"/>
            <w:shd w:val="clear" w:color="auto" w:fill="FFFFFF"/>
          </w:tcPr>
          <w:p w14:paraId="4504341E" w14:textId="76E3B2C0" w:rsidR="008B2187" w:rsidRPr="00687093" w:rsidRDefault="008B2187" w:rsidP="008B2187">
            <w:pPr>
              <w:spacing w:line="240" w:lineRule="auto"/>
              <w:rPr>
                <w:rFonts w:ascii="Times New Roman" w:hAnsi="Times New Roman"/>
                <w:color w:val="000000"/>
              </w:rPr>
            </w:pPr>
            <w:r>
              <w:rPr>
                <w:rFonts w:ascii="Times New Roman" w:hAnsi="Times New Roman"/>
                <w:color w:val="000000"/>
              </w:rPr>
              <w:t>rozwój klastrów energii</w:t>
            </w:r>
          </w:p>
        </w:tc>
        <w:tc>
          <w:tcPr>
            <w:tcW w:w="6968" w:type="dxa"/>
            <w:gridSpan w:val="22"/>
            <w:shd w:val="clear" w:color="auto" w:fill="FFFFFF"/>
          </w:tcPr>
          <w:p w14:paraId="4D50340C" w14:textId="2CB58E89" w:rsidR="008B2187" w:rsidRPr="00687093" w:rsidRDefault="008B2187" w:rsidP="008B2187">
            <w:pPr>
              <w:spacing w:line="240" w:lineRule="auto"/>
              <w:rPr>
                <w:rFonts w:ascii="Times New Roman" w:hAnsi="Times New Roman"/>
                <w:spacing w:val="-2"/>
              </w:rPr>
            </w:pPr>
            <w:r w:rsidRPr="00AE04CE">
              <w:rPr>
                <w:rFonts w:ascii="Times New Roman" w:hAnsi="Times New Roman"/>
                <w:spacing w:val="-2"/>
              </w:rPr>
              <w:t xml:space="preserve">Rozwój przedsiębiorstw innowacyjnych, w szczególności w branży </w:t>
            </w:r>
            <w:proofErr w:type="spellStart"/>
            <w:r w:rsidRPr="00AE04CE">
              <w:rPr>
                <w:rFonts w:ascii="Times New Roman" w:hAnsi="Times New Roman"/>
                <w:spacing w:val="-2"/>
              </w:rPr>
              <w:t>elektromobilności</w:t>
            </w:r>
            <w:proofErr w:type="spellEnd"/>
            <w:r w:rsidRPr="00AE04CE">
              <w:rPr>
                <w:rFonts w:ascii="Times New Roman" w:hAnsi="Times New Roman"/>
                <w:spacing w:val="-2"/>
              </w:rPr>
              <w:t xml:space="preserve">, magazynowania energii oraz </w:t>
            </w:r>
            <w:proofErr w:type="spellStart"/>
            <w:r w:rsidRPr="00AE04CE">
              <w:rPr>
                <w:rFonts w:ascii="Times New Roman" w:hAnsi="Times New Roman"/>
                <w:spacing w:val="-2"/>
              </w:rPr>
              <w:t>blockchain</w:t>
            </w:r>
            <w:proofErr w:type="spellEnd"/>
          </w:p>
        </w:tc>
      </w:tr>
      <w:tr w:rsidR="008B2187" w:rsidRPr="00687093" w14:paraId="3AA99EF1" w14:textId="77777777" w:rsidTr="00FE2F03">
        <w:trPr>
          <w:gridAfter w:val="1"/>
          <w:wAfter w:w="10" w:type="dxa"/>
          <w:trHeight w:val="699"/>
        </w:trPr>
        <w:tc>
          <w:tcPr>
            <w:tcW w:w="2242" w:type="dxa"/>
            <w:gridSpan w:val="2"/>
            <w:shd w:val="clear" w:color="auto" w:fill="FFFFFF"/>
          </w:tcPr>
          <w:p w14:paraId="4ECF54A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 xml:space="preserve">Dodatkowe informacje, w tym wskazanie źródeł danych i przyjętych do obliczeń założeń </w:t>
            </w:r>
          </w:p>
        </w:tc>
        <w:tc>
          <w:tcPr>
            <w:tcW w:w="8695" w:type="dxa"/>
            <w:gridSpan w:val="27"/>
            <w:shd w:val="clear" w:color="auto" w:fill="FFFFFF"/>
            <w:vAlign w:val="center"/>
          </w:tcPr>
          <w:p w14:paraId="2197CA9B" w14:textId="373FA25A" w:rsidR="008B2187" w:rsidRPr="00D579A1" w:rsidRDefault="005D454E" w:rsidP="00A15283">
            <w:pPr>
              <w:spacing w:before="120" w:line="240" w:lineRule="auto"/>
              <w:jc w:val="both"/>
              <w:rPr>
                <w:rFonts w:ascii="Times New Roman" w:hAnsi="Times New Roman"/>
                <w:b/>
                <w:bCs/>
                <w:color w:val="000000"/>
                <w:u w:val="single"/>
              </w:rPr>
            </w:pPr>
            <w:r w:rsidRPr="00D579A1">
              <w:rPr>
                <w:rFonts w:ascii="Times New Roman" w:hAnsi="Times New Roman"/>
                <w:b/>
                <w:bCs/>
                <w:color w:val="000000"/>
                <w:u w:val="single"/>
              </w:rPr>
              <w:t xml:space="preserve">I. </w:t>
            </w:r>
            <w:proofErr w:type="spellStart"/>
            <w:r w:rsidRPr="00D579A1">
              <w:rPr>
                <w:rFonts w:ascii="Times New Roman" w:hAnsi="Times New Roman"/>
                <w:b/>
                <w:bCs/>
                <w:color w:val="000000"/>
                <w:u w:val="single"/>
              </w:rPr>
              <w:t>Biometan</w:t>
            </w:r>
            <w:proofErr w:type="spellEnd"/>
            <w:r w:rsidRPr="00D579A1">
              <w:rPr>
                <w:rFonts w:ascii="Times New Roman" w:hAnsi="Times New Roman"/>
                <w:b/>
                <w:bCs/>
                <w:color w:val="000000"/>
                <w:u w:val="single"/>
              </w:rPr>
              <w:t xml:space="preserve"> </w:t>
            </w:r>
            <w:r>
              <w:rPr>
                <w:rFonts w:ascii="Times New Roman" w:hAnsi="Times New Roman"/>
                <w:b/>
                <w:bCs/>
                <w:color w:val="000000"/>
                <w:u w:val="single"/>
              </w:rPr>
              <w:t>–</w:t>
            </w:r>
            <w:r w:rsidRPr="00D579A1">
              <w:rPr>
                <w:rFonts w:ascii="Times New Roman" w:hAnsi="Times New Roman"/>
                <w:b/>
                <w:bCs/>
                <w:color w:val="000000"/>
                <w:u w:val="single"/>
              </w:rPr>
              <w:t xml:space="preserve"> n</w:t>
            </w:r>
            <w:r w:rsidR="008B2187" w:rsidRPr="00D579A1">
              <w:rPr>
                <w:rFonts w:ascii="Times New Roman" w:hAnsi="Times New Roman"/>
                <w:b/>
                <w:bCs/>
                <w:color w:val="000000"/>
                <w:u w:val="single"/>
              </w:rPr>
              <w:t>akłady na rozwój sektora</w:t>
            </w:r>
            <w:r>
              <w:rPr>
                <w:rFonts w:ascii="Times New Roman" w:hAnsi="Times New Roman"/>
                <w:b/>
                <w:bCs/>
                <w:color w:val="000000"/>
                <w:u w:val="single"/>
              </w:rPr>
              <w:t xml:space="preserve"> </w:t>
            </w:r>
            <w:r w:rsidR="008B2187" w:rsidRPr="00A15283">
              <w:rPr>
                <w:rFonts w:ascii="Times New Roman" w:hAnsi="Times New Roman"/>
                <w:b/>
                <w:bCs/>
                <w:color w:val="000000"/>
                <w:u w:val="single"/>
              </w:rPr>
              <w:t>– dotyczy przede wszystkim średnich i dużych przedsiębiorstw</w:t>
            </w:r>
          </w:p>
          <w:p w14:paraId="1C58405B" w14:textId="077D5456"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 xml:space="preserve">Rozwój sektora </w:t>
            </w:r>
            <w:proofErr w:type="spellStart"/>
            <w:r>
              <w:rPr>
                <w:rFonts w:ascii="Times New Roman" w:hAnsi="Times New Roman"/>
                <w:color w:val="000000"/>
              </w:rPr>
              <w:t>biometanu</w:t>
            </w:r>
            <w:proofErr w:type="spellEnd"/>
            <w:r>
              <w:rPr>
                <w:rFonts w:ascii="Times New Roman" w:hAnsi="Times New Roman"/>
                <w:color w:val="000000"/>
              </w:rPr>
              <w:t xml:space="preserve">, poza wpływem na sektor gazowy oraz elektroenergetyczny będzie również uzależniony od determinacji oraz możliwości w zakresie pozyskania odpowiedniego kapitału ze strony prywatnych inwestorów, zainteresowanych budową instalacji do wytwarzania </w:t>
            </w:r>
            <w:proofErr w:type="spellStart"/>
            <w:r>
              <w:rPr>
                <w:rFonts w:ascii="Times New Roman" w:hAnsi="Times New Roman"/>
                <w:color w:val="000000"/>
              </w:rPr>
              <w:t>biometanu</w:t>
            </w:r>
            <w:proofErr w:type="spellEnd"/>
            <w:r>
              <w:rPr>
                <w:rFonts w:ascii="Times New Roman" w:hAnsi="Times New Roman"/>
                <w:color w:val="000000"/>
              </w:rPr>
              <w:t>.</w:t>
            </w:r>
          </w:p>
          <w:p w14:paraId="4BC518DB" w14:textId="48D0E045"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 xml:space="preserve">Koszty CAPEX instalacji można podzielić na kilka kluczowych pozycji, do których należą: (1) jednostka służąca do wytwarzania biogazu - bez modułu kogeneracyjnego, ale łącznie z niezbędną infrastrukturą towarzyszącą (silosy, infrastruktura, uzbrojenie terenu), (2) moduł uzdatniania biogazu do parametrów gazu ziemnego oraz (3) koszt budowy przyłącza gazowego. </w:t>
            </w:r>
          </w:p>
          <w:p w14:paraId="0545D457" w14:textId="09E405A8"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Średnie koszty tego rodzaju instalacji wynoszą ok. 18,5 – 20 mln zł w przypadku jednostki produkcyjnej o wydajności 2 mln m</w:t>
            </w:r>
            <w:r>
              <w:rPr>
                <w:rFonts w:ascii="Times New Roman" w:hAnsi="Times New Roman"/>
                <w:color w:val="000000"/>
                <w:vertAlign w:val="superscript"/>
              </w:rPr>
              <w:t xml:space="preserve">3 </w:t>
            </w:r>
            <w:proofErr w:type="spellStart"/>
            <w:r>
              <w:rPr>
                <w:rFonts w:ascii="Times New Roman" w:hAnsi="Times New Roman"/>
                <w:color w:val="000000"/>
              </w:rPr>
              <w:t>biometanu</w:t>
            </w:r>
            <w:proofErr w:type="spellEnd"/>
            <w:r>
              <w:rPr>
                <w:rFonts w:ascii="Times New Roman" w:hAnsi="Times New Roman"/>
                <w:color w:val="000000"/>
              </w:rPr>
              <w:t xml:space="preserve"> rocznie. Zatem w celu realizacji 500 instalacji, zgodnie z założeniami projektu, konieczne będzie zainwestowanie środków finansowych rzędu 9,25 – 10 mld zł.</w:t>
            </w:r>
          </w:p>
          <w:p w14:paraId="7521921B" w14:textId="77777777"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t xml:space="preserve">Koszty OPEX instalacji są uzależnione od wielu czynników, jednak można je zagregować do kilku kluczowych elementów, do których należą: (1) koszty związane z pozyskaniem substratu, (2) koszty obsługi instalacji (bez modułu uzdatniania biogazu), do których należą koszty wynagrodzeń pracowników, koszt utrzymania urządzeń technologicznych, koszty wywozu </w:t>
            </w:r>
            <w:proofErr w:type="spellStart"/>
            <w:r>
              <w:rPr>
                <w:rFonts w:ascii="Times New Roman" w:hAnsi="Times New Roman"/>
                <w:color w:val="000000"/>
              </w:rPr>
              <w:t>pofermentu</w:t>
            </w:r>
            <w:proofErr w:type="spellEnd"/>
            <w:r>
              <w:rPr>
                <w:rFonts w:ascii="Times New Roman" w:hAnsi="Times New Roman"/>
                <w:color w:val="000000"/>
              </w:rPr>
              <w:t xml:space="preserve">, koszty laboratoryjne czy też podatek od nieruchomości oraz (3) koszty utrzymania stacji uzdatniania </w:t>
            </w:r>
            <w:proofErr w:type="spellStart"/>
            <w:r>
              <w:rPr>
                <w:rFonts w:ascii="Times New Roman" w:hAnsi="Times New Roman"/>
                <w:color w:val="000000"/>
              </w:rPr>
              <w:t>biometanu</w:t>
            </w:r>
            <w:proofErr w:type="spellEnd"/>
            <w:r>
              <w:rPr>
                <w:rFonts w:ascii="Times New Roman" w:hAnsi="Times New Roman"/>
                <w:color w:val="000000"/>
              </w:rPr>
              <w:t xml:space="preserve">. Największy udział w średniorocznych kosztach operacyjnych instalacji do wytwarzania </w:t>
            </w:r>
            <w:proofErr w:type="spellStart"/>
            <w:r>
              <w:rPr>
                <w:rFonts w:ascii="Times New Roman" w:hAnsi="Times New Roman"/>
                <w:color w:val="000000"/>
              </w:rPr>
              <w:t>biometanu</w:t>
            </w:r>
            <w:proofErr w:type="spellEnd"/>
            <w:r>
              <w:rPr>
                <w:rFonts w:ascii="Times New Roman" w:hAnsi="Times New Roman"/>
                <w:color w:val="000000"/>
              </w:rPr>
              <w:t xml:space="preserve"> mają koszty pozyskania substratu oraz koszty oczyszczania biogazu. </w:t>
            </w:r>
          </w:p>
          <w:p w14:paraId="781DFBA1" w14:textId="57D8AFED" w:rsidR="008B2187" w:rsidRDefault="008B2187" w:rsidP="008B2187">
            <w:pPr>
              <w:spacing w:after="120" w:line="240" w:lineRule="auto"/>
              <w:jc w:val="both"/>
              <w:rPr>
                <w:rFonts w:ascii="Times New Roman" w:hAnsi="Times New Roman"/>
                <w:color w:val="000000"/>
              </w:rPr>
            </w:pPr>
            <w:r>
              <w:rPr>
                <w:rFonts w:ascii="Times New Roman" w:hAnsi="Times New Roman"/>
                <w:color w:val="000000"/>
              </w:rPr>
              <w:lastRenderedPageBreak/>
              <w:t>Średnioroczne koszty OPEX są bardzo zróżnicowane i zależą przede wszystkim od modelu pozyskania surowca jak również technologii oczyszczania biogazu. Przyjmuje się, że dla instalacji o wydajności 2 mln m</w:t>
            </w:r>
            <w:r>
              <w:rPr>
                <w:rFonts w:ascii="Times New Roman" w:hAnsi="Times New Roman"/>
                <w:color w:val="000000"/>
                <w:vertAlign w:val="superscript"/>
              </w:rPr>
              <w:t xml:space="preserve">3 </w:t>
            </w:r>
            <w:proofErr w:type="spellStart"/>
            <w:r>
              <w:rPr>
                <w:rFonts w:ascii="Times New Roman" w:hAnsi="Times New Roman"/>
                <w:color w:val="000000"/>
              </w:rPr>
              <w:t>biometanu</w:t>
            </w:r>
            <w:proofErr w:type="spellEnd"/>
            <w:r>
              <w:rPr>
                <w:rFonts w:ascii="Times New Roman" w:hAnsi="Times New Roman"/>
                <w:color w:val="000000"/>
              </w:rPr>
              <w:t xml:space="preserve"> rocznie mogą wynosić od 3,0 do 5,5 mln zł.</w:t>
            </w:r>
          </w:p>
          <w:p w14:paraId="52586BC7" w14:textId="76FB35F6" w:rsidR="008B2187" w:rsidRPr="00D579A1" w:rsidRDefault="005D454E" w:rsidP="008B2187">
            <w:pPr>
              <w:spacing w:line="240" w:lineRule="auto"/>
              <w:jc w:val="both"/>
              <w:rPr>
                <w:rFonts w:ascii="Times New Roman" w:hAnsi="Times New Roman"/>
                <w:b/>
                <w:bCs/>
                <w:color w:val="000000"/>
                <w:u w:val="single"/>
              </w:rPr>
            </w:pPr>
            <w:r w:rsidRPr="00D579A1">
              <w:rPr>
                <w:rFonts w:ascii="Times New Roman" w:hAnsi="Times New Roman"/>
                <w:b/>
                <w:bCs/>
                <w:color w:val="000000"/>
                <w:u w:val="single"/>
              </w:rPr>
              <w:t>II.</w:t>
            </w:r>
            <w:r w:rsidR="008B2187" w:rsidRPr="00D579A1">
              <w:rPr>
                <w:rFonts w:ascii="Times New Roman" w:hAnsi="Times New Roman"/>
                <w:b/>
                <w:bCs/>
                <w:color w:val="000000"/>
                <w:u w:val="single"/>
              </w:rPr>
              <w:t xml:space="preserve"> Klastry energii</w:t>
            </w:r>
          </w:p>
          <w:p w14:paraId="4D0CE571" w14:textId="128208C9" w:rsidR="008B2187" w:rsidRPr="00BE5FD7" w:rsidRDefault="008B2187" w:rsidP="00D579A1">
            <w:pPr>
              <w:spacing w:after="120" w:line="240" w:lineRule="auto"/>
              <w:jc w:val="both"/>
              <w:rPr>
                <w:rFonts w:ascii="Times New Roman" w:hAnsi="Times New Roman"/>
                <w:color w:val="000000"/>
              </w:rPr>
            </w:pPr>
            <w:r>
              <w:rPr>
                <w:rFonts w:ascii="Times New Roman" w:hAnsi="Times New Roman"/>
                <w:color w:val="000000"/>
              </w:rPr>
              <w:t xml:space="preserve">Klastry energii </w:t>
            </w:r>
            <w:r w:rsidRPr="00BE5FD7">
              <w:rPr>
                <w:rFonts w:ascii="Times New Roman" w:hAnsi="Times New Roman"/>
                <w:color w:val="000000"/>
              </w:rPr>
              <w:t xml:space="preserve">są </w:t>
            </w:r>
            <w:r>
              <w:rPr>
                <w:rFonts w:ascii="Times New Roman" w:hAnsi="Times New Roman"/>
                <w:color w:val="000000"/>
              </w:rPr>
              <w:t>generatorem</w:t>
            </w:r>
            <w:r w:rsidRPr="00BE5FD7">
              <w:rPr>
                <w:rFonts w:ascii="Times New Roman" w:hAnsi="Times New Roman"/>
                <w:color w:val="000000"/>
              </w:rPr>
              <w:t xml:space="preserve"> innowacyjnych ekosystemów, na które składają się nowe łańcuchy dostaw oraz usługi powiązan</w:t>
            </w:r>
            <w:r>
              <w:rPr>
                <w:rFonts w:ascii="Times New Roman" w:hAnsi="Times New Roman"/>
                <w:color w:val="000000"/>
              </w:rPr>
              <w:t>e. Pobudza to MŚP w tym start–</w:t>
            </w:r>
            <w:proofErr w:type="spellStart"/>
            <w:r w:rsidRPr="00BE5FD7">
              <w:rPr>
                <w:rFonts w:ascii="Times New Roman" w:hAnsi="Times New Roman"/>
                <w:color w:val="000000"/>
              </w:rPr>
              <w:t>upy</w:t>
            </w:r>
            <w:proofErr w:type="spellEnd"/>
            <w:r w:rsidRPr="00BE5FD7">
              <w:rPr>
                <w:rFonts w:ascii="Times New Roman" w:hAnsi="Times New Roman"/>
                <w:color w:val="000000"/>
              </w:rPr>
              <w:t xml:space="preserve"> do wytwarzania nowoczesnych produktów oraz usług i zwiększa dywersyfikację gospodarczą regionów także poprzez przyciąganie inwestycji, dla których jednym z najważniejszych elementów staje się tworzenie produktów z jak najniższym śladem węglowym poprzez maksymalne wykorzystanie źródeł OZE.</w:t>
            </w:r>
          </w:p>
          <w:p w14:paraId="40B627EE" w14:textId="6EE08504" w:rsidR="008B2187" w:rsidRPr="00BE5FD7" w:rsidRDefault="008B2187" w:rsidP="002B32ED">
            <w:pPr>
              <w:spacing w:after="120" w:line="240" w:lineRule="auto"/>
              <w:jc w:val="both"/>
              <w:rPr>
                <w:rFonts w:ascii="Times New Roman" w:hAnsi="Times New Roman"/>
                <w:color w:val="000000"/>
              </w:rPr>
            </w:pPr>
            <w:r w:rsidRPr="00BE5FD7">
              <w:rPr>
                <w:rFonts w:ascii="Times New Roman" w:hAnsi="Times New Roman"/>
                <w:color w:val="000000"/>
              </w:rPr>
              <w:t>Oprócz zatrudnienia bezpośredniego w obsłudze źródeł OZE po realizacji inwestycji, należy doliczyć zatrudnienie bezpośrednie przy samej ich realizacji (zarządzanie, budowa). Analiza Międzynarodowej Agencji Energii Odnawialnej IRENA wykazała, że w 2019 roku 11,5 miliona osób pracowało w branży OZE</w:t>
            </w:r>
            <w:r>
              <w:rPr>
                <w:rFonts w:ascii="Times New Roman" w:hAnsi="Times New Roman"/>
                <w:color w:val="000000"/>
              </w:rPr>
              <w:t>. To wzrost o 500 tys.</w:t>
            </w:r>
            <w:r w:rsidRPr="00BE5FD7">
              <w:rPr>
                <w:rFonts w:ascii="Times New Roman" w:hAnsi="Times New Roman"/>
                <w:color w:val="000000"/>
              </w:rPr>
              <w:t xml:space="preserve"> miejsc pracy w porównaniu do roku 2018.</w:t>
            </w:r>
            <w:r w:rsidRPr="00BE5FD7">
              <w:t xml:space="preserve"> </w:t>
            </w:r>
            <w:hyperlink r:id="rId21" w:history="1">
              <w:r w:rsidR="002D5AD9" w:rsidRPr="00D54CC8">
                <w:rPr>
                  <w:rStyle w:val="Hipercze"/>
                  <w:rFonts w:ascii="Times New Roman" w:hAnsi="Times New Roman"/>
                </w:rPr>
                <w:t>https://www.irena.org/publications/2020/Sep/Renewable-Energy-and-Jobs-Annual-Review-2020</w:t>
              </w:r>
            </w:hyperlink>
            <w:r w:rsidR="002D5AD9">
              <w:rPr>
                <w:rFonts w:ascii="Times New Roman" w:hAnsi="Times New Roman"/>
                <w:color w:val="000000"/>
              </w:rPr>
              <w:t xml:space="preserve"> </w:t>
            </w:r>
          </w:p>
          <w:p w14:paraId="2726B0CD" w14:textId="77777777" w:rsidR="008B2187" w:rsidRPr="00BE5FD7" w:rsidRDefault="008B2187">
            <w:pPr>
              <w:spacing w:after="120" w:line="240" w:lineRule="auto"/>
              <w:jc w:val="both"/>
              <w:rPr>
                <w:rFonts w:ascii="Times New Roman" w:hAnsi="Times New Roman"/>
                <w:color w:val="000000"/>
              </w:rPr>
            </w:pPr>
            <w:r w:rsidRPr="00BE5FD7">
              <w:rPr>
                <w:rFonts w:ascii="Times New Roman" w:hAnsi="Times New Roman"/>
                <w:color w:val="000000"/>
              </w:rPr>
              <w:t>Inwestycje w OZE dają szanse na aktywizację terenów słabo zaludnionych, o ubogich glebach oraz na wzrost atrakcyjności regionów dla inwestorów</w:t>
            </w:r>
          </w:p>
          <w:p w14:paraId="551C0960" w14:textId="77777777" w:rsidR="008B2187" w:rsidRPr="007C6D0B" w:rsidRDefault="008B2187">
            <w:pPr>
              <w:spacing w:after="120" w:line="240" w:lineRule="auto"/>
              <w:jc w:val="both"/>
              <w:rPr>
                <w:rFonts w:ascii="Times New Roman" w:hAnsi="Times New Roman"/>
                <w:color w:val="000000"/>
              </w:rPr>
            </w:pPr>
            <w:r w:rsidRPr="00BE5FD7">
              <w:rPr>
                <w:rFonts w:ascii="Times New Roman" w:hAnsi="Times New Roman"/>
                <w:color w:val="000000"/>
              </w:rPr>
              <w:t xml:space="preserve">Rozwój OZE w klastrach energii może skutecznie wpłynąć na przyciągnięcie nowych </w:t>
            </w:r>
            <w:r w:rsidRPr="007C6D0B">
              <w:rPr>
                <w:rFonts w:ascii="Times New Roman" w:hAnsi="Times New Roman"/>
                <w:color w:val="000000"/>
              </w:rPr>
              <w:t>zagranicznych inwestycji.</w:t>
            </w:r>
          </w:p>
          <w:p w14:paraId="52A45637" w14:textId="341A645D" w:rsidR="002D5AD9" w:rsidRPr="007C6D0B" w:rsidRDefault="002D5AD9" w:rsidP="002D5AD9">
            <w:pPr>
              <w:spacing w:line="240" w:lineRule="auto"/>
              <w:jc w:val="both"/>
              <w:rPr>
                <w:rFonts w:ascii="Times New Roman" w:hAnsi="Times New Roman"/>
                <w:b/>
                <w:bCs/>
                <w:color w:val="000000"/>
                <w:u w:val="single"/>
              </w:rPr>
            </w:pPr>
            <w:r w:rsidRPr="009E525D">
              <w:rPr>
                <w:rFonts w:ascii="Times New Roman" w:hAnsi="Times New Roman"/>
                <w:b/>
                <w:bCs/>
                <w:color w:val="000000"/>
                <w:u w:val="single"/>
              </w:rPr>
              <w:t>IV. M</w:t>
            </w:r>
            <w:r w:rsidRPr="007C6D0B">
              <w:rPr>
                <w:rFonts w:ascii="Times New Roman" w:hAnsi="Times New Roman"/>
                <w:b/>
                <w:bCs/>
                <w:color w:val="000000"/>
                <w:u w:val="single"/>
              </w:rPr>
              <w:t>odernizacja instalacji OZE</w:t>
            </w:r>
            <w:r w:rsidR="003170C9" w:rsidRPr="007C6D0B">
              <w:rPr>
                <w:rFonts w:ascii="Times New Roman" w:hAnsi="Times New Roman"/>
                <w:b/>
                <w:bCs/>
                <w:color w:val="000000"/>
                <w:u w:val="single"/>
              </w:rPr>
              <w:t xml:space="preserve"> oraz </w:t>
            </w:r>
            <w:r w:rsidRPr="007C6D0B">
              <w:rPr>
                <w:rFonts w:ascii="Times New Roman" w:hAnsi="Times New Roman"/>
                <w:b/>
                <w:bCs/>
                <w:color w:val="000000"/>
                <w:u w:val="single"/>
              </w:rPr>
              <w:t xml:space="preserve">V. Wsparcie operacyjne </w:t>
            </w:r>
          </w:p>
          <w:p w14:paraId="65367CE1" w14:textId="738918E7" w:rsidR="004D56EA" w:rsidRPr="007C6D0B" w:rsidRDefault="004D56EA" w:rsidP="00A15283">
            <w:pPr>
              <w:spacing w:after="120" w:line="240" w:lineRule="auto"/>
              <w:jc w:val="both"/>
              <w:rPr>
                <w:rFonts w:ascii="Times New Roman" w:hAnsi="Times New Roman"/>
                <w:color w:val="000000"/>
              </w:rPr>
            </w:pPr>
            <w:r w:rsidRPr="004B458B">
              <w:rPr>
                <w:rFonts w:ascii="Times New Roman" w:hAnsi="Times New Roman"/>
                <w:color w:val="000000"/>
              </w:rPr>
              <w:t>Podstawowym</w:t>
            </w:r>
            <w:r w:rsidRPr="00A15283">
              <w:rPr>
                <w:rFonts w:ascii="Times New Roman" w:hAnsi="Times New Roman"/>
                <w:color w:val="000000"/>
              </w:rPr>
              <w:t xml:space="preserve"> założeniem podczas </w:t>
            </w:r>
            <w:r w:rsidR="00E81368" w:rsidRPr="00A15283">
              <w:rPr>
                <w:rFonts w:ascii="Times New Roman" w:hAnsi="Times New Roman"/>
                <w:color w:val="000000"/>
              </w:rPr>
              <w:t xml:space="preserve">tworzenia systemu modernizacji oraz systemu wsparcia </w:t>
            </w:r>
            <w:r w:rsidR="00012E65">
              <w:rPr>
                <w:rFonts w:ascii="Times New Roman" w:hAnsi="Times New Roman"/>
                <w:color w:val="000000"/>
              </w:rPr>
              <w:t>operacyjnego</w:t>
            </w:r>
            <w:r w:rsidR="00E81368" w:rsidRPr="00A15283">
              <w:rPr>
                <w:rFonts w:ascii="Times New Roman" w:hAnsi="Times New Roman"/>
                <w:color w:val="000000"/>
              </w:rPr>
              <w:t xml:space="preserve"> było </w:t>
            </w:r>
            <w:r w:rsidR="007C6D0B">
              <w:rPr>
                <w:rFonts w:ascii="Times New Roman" w:hAnsi="Times New Roman"/>
                <w:color w:val="000000"/>
              </w:rPr>
              <w:t xml:space="preserve">zważenie </w:t>
            </w:r>
            <w:r w:rsidR="00E81368" w:rsidRPr="00A15283">
              <w:rPr>
                <w:rFonts w:ascii="Times New Roman" w:hAnsi="Times New Roman"/>
                <w:color w:val="000000"/>
              </w:rPr>
              <w:t>koszt</w:t>
            </w:r>
            <w:r w:rsidR="007C6D0B">
              <w:rPr>
                <w:rFonts w:ascii="Times New Roman" w:hAnsi="Times New Roman"/>
                <w:color w:val="000000"/>
              </w:rPr>
              <w:t>ów</w:t>
            </w:r>
            <w:r w:rsidR="00E81368" w:rsidRPr="00A15283">
              <w:rPr>
                <w:rFonts w:ascii="Times New Roman" w:hAnsi="Times New Roman"/>
                <w:color w:val="000000"/>
              </w:rPr>
              <w:t xml:space="preserve"> alternatywnych rozwiązań (</w:t>
            </w:r>
            <w:r w:rsidR="00E81368" w:rsidRPr="00A15283">
              <w:rPr>
                <w:rFonts w:ascii="Times New Roman" w:hAnsi="Times New Roman"/>
                <w:i/>
                <w:iCs/>
                <w:color w:val="000000"/>
              </w:rPr>
              <w:t>trade-off</w:t>
            </w:r>
            <w:r w:rsidR="00E81368" w:rsidRPr="00A15283">
              <w:rPr>
                <w:rFonts w:ascii="Times New Roman" w:hAnsi="Times New Roman"/>
                <w:color w:val="000000"/>
              </w:rPr>
              <w:t xml:space="preserve">). </w:t>
            </w:r>
            <w:r w:rsidR="008E1756" w:rsidRPr="00A15283">
              <w:rPr>
                <w:rFonts w:ascii="Times New Roman" w:hAnsi="Times New Roman"/>
                <w:color w:val="000000"/>
              </w:rPr>
              <w:t>W przypadku braku wsparcia instalacji istniejących lub umożliwieni</w:t>
            </w:r>
            <w:r w:rsidR="00A02670">
              <w:rPr>
                <w:rFonts w:ascii="Times New Roman" w:hAnsi="Times New Roman"/>
                <w:color w:val="000000"/>
              </w:rPr>
              <w:t>a</w:t>
            </w:r>
            <w:r w:rsidR="008E1756" w:rsidRPr="00A15283">
              <w:rPr>
                <w:rFonts w:ascii="Times New Roman" w:hAnsi="Times New Roman"/>
                <w:color w:val="000000"/>
              </w:rPr>
              <w:t xml:space="preserve"> im </w:t>
            </w:r>
            <w:r w:rsidR="008817EB" w:rsidRPr="00A15283">
              <w:rPr>
                <w:rFonts w:ascii="Times New Roman" w:hAnsi="Times New Roman"/>
                <w:color w:val="000000"/>
              </w:rPr>
              <w:t>gruntown</w:t>
            </w:r>
            <w:r w:rsidR="00A02670">
              <w:rPr>
                <w:rFonts w:ascii="Times New Roman" w:hAnsi="Times New Roman"/>
                <w:color w:val="000000"/>
              </w:rPr>
              <w:t>ej</w:t>
            </w:r>
            <w:r w:rsidR="008817EB" w:rsidRPr="00A15283">
              <w:rPr>
                <w:rFonts w:ascii="Times New Roman" w:hAnsi="Times New Roman"/>
                <w:color w:val="000000"/>
              </w:rPr>
              <w:t xml:space="preserve"> </w:t>
            </w:r>
            <w:r w:rsidR="008E1756" w:rsidRPr="00A15283">
              <w:rPr>
                <w:rFonts w:ascii="Times New Roman" w:hAnsi="Times New Roman"/>
                <w:color w:val="000000"/>
              </w:rPr>
              <w:t>mode</w:t>
            </w:r>
            <w:r w:rsidR="008817EB" w:rsidRPr="00A15283">
              <w:rPr>
                <w:rFonts w:ascii="Times New Roman" w:hAnsi="Times New Roman"/>
                <w:color w:val="000000"/>
              </w:rPr>
              <w:t>rnizacj</w:t>
            </w:r>
            <w:r w:rsidR="00A02670">
              <w:rPr>
                <w:rFonts w:ascii="Times New Roman" w:hAnsi="Times New Roman"/>
                <w:color w:val="000000"/>
              </w:rPr>
              <w:t>i</w:t>
            </w:r>
            <w:r w:rsidR="008817EB" w:rsidRPr="00A15283">
              <w:rPr>
                <w:rFonts w:ascii="Times New Roman" w:hAnsi="Times New Roman"/>
                <w:color w:val="000000"/>
              </w:rPr>
              <w:t xml:space="preserve">, istnieje ryzyko, że z uwagi na wyższe koszty trzech rodzajów źródeł energii objętych wsparciem, </w:t>
            </w:r>
            <w:r w:rsidR="00A02670">
              <w:rPr>
                <w:rFonts w:ascii="Times New Roman" w:hAnsi="Times New Roman"/>
                <w:color w:val="000000"/>
              </w:rPr>
              <w:t xml:space="preserve">wytwórcy </w:t>
            </w:r>
            <w:r w:rsidR="0012021C" w:rsidRPr="007C6D0B">
              <w:rPr>
                <w:rFonts w:ascii="Times New Roman" w:hAnsi="Times New Roman"/>
                <w:color w:val="000000"/>
              </w:rPr>
              <w:t>zaprzestan</w:t>
            </w:r>
            <w:r w:rsidR="00A02670">
              <w:rPr>
                <w:rFonts w:ascii="Times New Roman" w:hAnsi="Times New Roman"/>
                <w:color w:val="000000"/>
              </w:rPr>
              <w:t>ą</w:t>
            </w:r>
            <w:r w:rsidR="0012021C" w:rsidRPr="007C6D0B">
              <w:rPr>
                <w:rFonts w:ascii="Times New Roman" w:hAnsi="Times New Roman"/>
                <w:color w:val="000000"/>
              </w:rPr>
              <w:t xml:space="preserve"> działalności </w:t>
            </w:r>
            <w:r w:rsidR="00A02670">
              <w:rPr>
                <w:rFonts w:ascii="Times New Roman" w:hAnsi="Times New Roman"/>
                <w:color w:val="000000"/>
              </w:rPr>
              <w:t>w takich</w:t>
            </w:r>
            <w:r w:rsidR="0012021C" w:rsidRPr="007C6D0B">
              <w:rPr>
                <w:rFonts w:ascii="Times New Roman" w:hAnsi="Times New Roman"/>
                <w:color w:val="000000"/>
              </w:rPr>
              <w:t xml:space="preserve"> instalacj</w:t>
            </w:r>
            <w:r w:rsidR="00A02670">
              <w:rPr>
                <w:rFonts w:ascii="Times New Roman" w:hAnsi="Times New Roman"/>
                <w:color w:val="000000"/>
              </w:rPr>
              <w:t>ach</w:t>
            </w:r>
            <w:r w:rsidR="0012021C" w:rsidRPr="007C6D0B">
              <w:rPr>
                <w:rFonts w:ascii="Times New Roman" w:hAnsi="Times New Roman"/>
                <w:color w:val="000000"/>
              </w:rPr>
              <w:t>. Z uwagi na to, że zapotrzebowanie na energię elektryczną stale rośnie, założono, że w krótkim</w:t>
            </w:r>
            <w:r w:rsidR="00CC19A2" w:rsidRPr="007C6D0B">
              <w:rPr>
                <w:rFonts w:ascii="Times New Roman" w:hAnsi="Times New Roman"/>
                <w:color w:val="000000"/>
              </w:rPr>
              <w:t xml:space="preserve">-średnim okresie wyłączone źródła OZE byłyby zastąpione zwiększeniem produkcji energii ze źródeł kopalnych. </w:t>
            </w:r>
          </w:p>
          <w:p w14:paraId="46980BE3" w14:textId="41126F67" w:rsidR="00CC19A2" w:rsidRPr="004B458B" w:rsidRDefault="00CC19A2" w:rsidP="00A15283">
            <w:pPr>
              <w:spacing w:after="120" w:line="240" w:lineRule="auto"/>
              <w:jc w:val="both"/>
              <w:rPr>
                <w:rFonts w:ascii="Times New Roman" w:hAnsi="Times New Roman"/>
                <w:color w:val="000000"/>
              </w:rPr>
            </w:pPr>
            <w:r w:rsidRPr="004B458B">
              <w:rPr>
                <w:rFonts w:ascii="Times New Roman" w:hAnsi="Times New Roman"/>
                <w:color w:val="000000"/>
              </w:rPr>
              <w:t xml:space="preserve">Drugą alternatywą jest </w:t>
            </w:r>
            <w:r w:rsidR="0019035F" w:rsidRPr="004B458B">
              <w:rPr>
                <w:rFonts w:ascii="Times New Roman" w:hAnsi="Times New Roman"/>
                <w:color w:val="000000"/>
              </w:rPr>
              <w:t xml:space="preserve">możliwość wybudowania nowych instalacji OZE, lecz w tym przypadku koszt ponoszony przez odbiorcę końcowego i system wsparcia jest </w:t>
            </w:r>
            <w:r w:rsidR="00A02670">
              <w:rPr>
                <w:rFonts w:ascii="Times New Roman" w:hAnsi="Times New Roman"/>
                <w:color w:val="000000"/>
              </w:rPr>
              <w:t>znacząco</w:t>
            </w:r>
            <w:r w:rsidR="0019035F" w:rsidRPr="00A02670">
              <w:rPr>
                <w:rFonts w:ascii="Times New Roman" w:hAnsi="Times New Roman"/>
                <w:color w:val="000000"/>
              </w:rPr>
              <w:t xml:space="preserve"> wyższy niż przy kontynuowaniu działalności przez wytwórcę czy też nawet </w:t>
            </w:r>
            <w:r w:rsidR="005E1B8D" w:rsidRPr="004B458B">
              <w:rPr>
                <w:rFonts w:ascii="Times New Roman" w:hAnsi="Times New Roman"/>
                <w:color w:val="000000"/>
              </w:rPr>
              <w:t xml:space="preserve">modernizacji instalacji. </w:t>
            </w:r>
          </w:p>
          <w:p w14:paraId="02EF8AB9" w14:textId="5ADB5113" w:rsidR="002D5AD9" w:rsidRPr="00687093" w:rsidRDefault="005E1B8D" w:rsidP="000555A2">
            <w:pPr>
              <w:spacing w:after="120" w:line="240" w:lineRule="auto"/>
              <w:jc w:val="both"/>
              <w:rPr>
                <w:rFonts w:ascii="Times New Roman" w:hAnsi="Times New Roman"/>
                <w:color w:val="000000"/>
              </w:rPr>
            </w:pPr>
            <w:r w:rsidRPr="004B458B">
              <w:rPr>
                <w:rFonts w:ascii="Times New Roman" w:hAnsi="Times New Roman"/>
                <w:color w:val="000000"/>
              </w:rPr>
              <w:t>Dane o instalacjach, którym skończył lub niedługo skończy się system wsparcia</w:t>
            </w:r>
            <w:r w:rsidR="005375F4" w:rsidRPr="004B458B">
              <w:rPr>
                <w:rFonts w:ascii="Times New Roman" w:hAnsi="Times New Roman"/>
                <w:color w:val="000000"/>
              </w:rPr>
              <w:t xml:space="preserve">, które były podstawą do wyliczeń kosztów systemu wsparcia i pomocy publicznej </w:t>
            </w:r>
            <w:r w:rsidRPr="004B458B">
              <w:rPr>
                <w:rFonts w:ascii="Times New Roman" w:hAnsi="Times New Roman"/>
                <w:color w:val="000000"/>
              </w:rPr>
              <w:t>pochodzą z Urzędu Regulacji Energetyki or</w:t>
            </w:r>
            <w:r w:rsidR="005375F4" w:rsidRPr="004B458B">
              <w:rPr>
                <w:rFonts w:ascii="Times New Roman" w:hAnsi="Times New Roman"/>
                <w:color w:val="000000"/>
              </w:rPr>
              <w:t xml:space="preserve">az Agencji Rynku Energii S.A. Metodologia użyta do obliczania kosztów była tożsama z używaną </w:t>
            </w:r>
            <w:r w:rsidR="005D3E91" w:rsidRPr="004B458B">
              <w:rPr>
                <w:rFonts w:ascii="Times New Roman" w:hAnsi="Times New Roman"/>
                <w:color w:val="000000"/>
              </w:rPr>
              <w:t>przy okre</w:t>
            </w:r>
            <w:r w:rsidR="000555A2" w:rsidRPr="004B458B">
              <w:rPr>
                <w:rFonts w:ascii="Times New Roman" w:hAnsi="Times New Roman"/>
                <w:color w:val="000000"/>
              </w:rPr>
              <w:t>ślaniu ceny OZE w rozporządzeniu Rady Ministrów w sprawie ceny referencyjnej energii elektrycznej z odnawialnych źródeł energii na dany rok.</w:t>
            </w:r>
          </w:p>
        </w:tc>
      </w:tr>
      <w:tr w:rsidR="008B2187" w:rsidRPr="00687093" w14:paraId="6C8DA08D" w14:textId="77777777" w:rsidTr="00676C8D">
        <w:trPr>
          <w:gridAfter w:val="1"/>
          <w:wAfter w:w="10" w:type="dxa"/>
          <w:trHeight w:val="342"/>
        </w:trPr>
        <w:tc>
          <w:tcPr>
            <w:tcW w:w="10937" w:type="dxa"/>
            <w:gridSpan w:val="29"/>
            <w:shd w:val="clear" w:color="auto" w:fill="99CCFF"/>
            <w:vAlign w:val="center"/>
          </w:tcPr>
          <w:p w14:paraId="18436530"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lastRenderedPageBreak/>
              <w:t xml:space="preserve"> Zmiana obciążeń regulacyjnych (w tym obowiązków informacyjnych) wynikających z projektu</w:t>
            </w:r>
          </w:p>
        </w:tc>
      </w:tr>
      <w:tr w:rsidR="008B2187" w:rsidRPr="00687093" w14:paraId="2F51C013" w14:textId="77777777" w:rsidTr="00676C8D">
        <w:trPr>
          <w:gridAfter w:val="1"/>
          <w:wAfter w:w="10" w:type="dxa"/>
          <w:trHeight w:val="151"/>
        </w:trPr>
        <w:tc>
          <w:tcPr>
            <w:tcW w:w="10937" w:type="dxa"/>
            <w:gridSpan w:val="29"/>
            <w:shd w:val="clear" w:color="auto" w:fill="FFFFFF"/>
          </w:tcPr>
          <w:p w14:paraId="10553152"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bdr w:val="single" w:sz="4" w:space="0" w:color="auto"/>
              </w:rPr>
              <w:t>X</w:t>
            </w:r>
            <w:r w:rsidRPr="00687093">
              <w:rPr>
                <w:rFonts w:ascii="Times New Roman" w:hAnsi="Times New Roman"/>
                <w:color w:val="000000"/>
              </w:rPr>
              <w:t xml:space="preserve"> </w:t>
            </w:r>
            <w:r w:rsidRPr="00687093">
              <w:rPr>
                <w:rFonts w:ascii="Times New Roman" w:hAnsi="Times New Roman"/>
                <w:color w:val="000000"/>
                <w:spacing w:val="-2"/>
              </w:rPr>
              <w:t>nie dotyczy</w:t>
            </w:r>
          </w:p>
        </w:tc>
      </w:tr>
      <w:tr w:rsidR="008B2187" w:rsidRPr="00687093" w14:paraId="72C90492" w14:textId="77777777" w:rsidTr="00D34F3C">
        <w:trPr>
          <w:gridAfter w:val="1"/>
          <w:wAfter w:w="10" w:type="dxa"/>
          <w:trHeight w:val="800"/>
        </w:trPr>
        <w:tc>
          <w:tcPr>
            <w:tcW w:w="5110" w:type="dxa"/>
            <w:gridSpan w:val="12"/>
            <w:tcBorders>
              <w:right w:val="single" w:sz="4" w:space="0" w:color="auto"/>
            </w:tcBorders>
            <w:shd w:val="clear" w:color="auto" w:fill="FFFFFF"/>
          </w:tcPr>
          <w:p w14:paraId="6E4275F6" w14:textId="77777777" w:rsidR="008B2187" w:rsidRPr="00687093" w:rsidRDefault="008B2187" w:rsidP="008B2187">
            <w:pPr>
              <w:spacing w:line="240" w:lineRule="auto"/>
              <w:rPr>
                <w:rFonts w:ascii="Times New Roman" w:hAnsi="Times New Roman"/>
                <w:color w:val="000000"/>
                <w:spacing w:val="-2"/>
              </w:rPr>
            </w:pPr>
            <w:r w:rsidRPr="00687093">
              <w:rPr>
                <w:rFonts w:ascii="Times New Roman" w:hAnsi="Times New Roman"/>
                <w:color w:val="000000"/>
                <w:spacing w:val="-2"/>
              </w:rPr>
              <w:t xml:space="preserve">Wprowadzane są obciążenia poza bezwzględnie wymaganymi przez UE </w:t>
            </w:r>
            <w:r w:rsidRPr="00687093">
              <w:rPr>
                <w:rFonts w:ascii="Times New Roman" w:hAnsi="Times New Roman"/>
                <w:color w:val="000000"/>
              </w:rPr>
              <w:t>(szczegóły w odwróconej tabeli zgodności).</w:t>
            </w:r>
          </w:p>
        </w:tc>
        <w:tc>
          <w:tcPr>
            <w:tcW w:w="5827" w:type="dxa"/>
            <w:gridSpan w:val="17"/>
            <w:tcBorders>
              <w:top w:val="single" w:sz="4" w:space="0" w:color="auto"/>
              <w:left w:val="single" w:sz="4" w:space="0" w:color="auto"/>
              <w:bottom w:val="single" w:sz="4" w:space="0" w:color="auto"/>
              <w:right w:val="single" w:sz="4" w:space="0" w:color="auto"/>
            </w:tcBorders>
            <w:shd w:val="clear" w:color="auto" w:fill="FFFFFF"/>
          </w:tcPr>
          <w:p w14:paraId="06B44F23" w14:textId="03EEA7D9" w:rsidR="008B2187" w:rsidRPr="00687093" w:rsidRDefault="008B2187" w:rsidP="008B218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tak</w:t>
            </w:r>
          </w:p>
          <w:p w14:paraId="4E4CB36D" w14:textId="77777777"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nie</w:t>
            </w:r>
          </w:p>
          <w:p w14:paraId="6F8C41E6" w14:textId="5C4E3569"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nie dotyczy</w:t>
            </w:r>
          </w:p>
        </w:tc>
      </w:tr>
      <w:tr w:rsidR="008B2187" w:rsidRPr="00687093" w14:paraId="79E68D5A" w14:textId="77777777" w:rsidTr="00D34F3C">
        <w:trPr>
          <w:gridAfter w:val="1"/>
          <w:wAfter w:w="10" w:type="dxa"/>
          <w:trHeight w:val="1123"/>
        </w:trPr>
        <w:tc>
          <w:tcPr>
            <w:tcW w:w="5110" w:type="dxa"/>
            <w:gridSpan w:val="12"/>
            <w:shd w:val="clear" w:color="auto" w:fill="FFFFFF"/>
          </w:tcPr>
          <w:p w14:paraId="24C14429"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 xml:space="preserve">zmniejszenie liczby dokumentów </w:t>
            </w:r>
          </w:p>
          <w:p w14:paraId="25609AC2" w14:textId="75A9EB8C"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zmniejszenie liczby procedur</w:t>
            </w:r>
          </w:p>
          <w:p w14:paraId="061DD15B" w14:textId="12BE5126"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skrócenie czasu na załatwienie sprawy</w:t>
            </w:r>
          </w:p>
          <w:p w14:paraId="40F55179" w14:textId="2EACE082" w:rsidR="008B2187" w:rsidRPr="00687093" w:rsidRDefault="008B2187" w:rsidP="008B2187">
            <w:pPr>
              <w:spacing w:line="240" w:lineRule="auto"/>
              <w:rPr>
                <w:rFonts w:ascii="Times New Roman" w:hAnsi="Times New Roman"/>
                <w:b/>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inne:</w:t>
            </w:r>
            <w:r w:rsidRPr="00687093">
              <w:rPr>
                <w:rFonts w:ascii="Times New Roman" w:hAnsi="Times New Roman"/>
                <w:color w:val="000000"/>
              </w:rPr>
              <w:t xml:space="preserv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c>
          <w:tcPr>
            <w:tcW w:w="5827" w:type="dxa"/>
            <w:gridSpan w:val="17"/>
            <w:shd w:val="clear" w:color="auto" w:fill="FFFFFF"/>
          </w:tcPr>
          <w:p w14:paraId="1E435864" w14:textId="2A3BD8E0" w:rsidR="008B2187" w:rsidRPr="00687093" w:rsidRDefault="008B2187"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zwiększenie liczby dokumentów</w:t>
            </w:r>
          </w:p>
          <w:p w14:paraId="18A2A81B" w14:textId="54FBDA72" w:rsidR="008B2187" w:rsidRPr="00687093" w:rsidRDefault="003170C9" w:rsidP="008B2187">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Pr>
                <w:rFonts w:ascii="Times New Roman" w:hAnsi="Times New Roman"/>
                <w:color w:val="000000"/>
              </w:rPr>
              <w:fldChar w:fldCharType="end"/>
            </w:r>
            <w:r w:rsidR="008B2187" w:rsidRPr="00687093">
              <w:rPr>
                <w:rFonts w:ascii="Times New Roman" w:hAnsi="Times New Roman"/>
                <w:color w:val="000000"/>
              </w:rPr>
              <w:t xml:space="preserve"> </w:t>
            </w:r>
            <w:r w:rsidR="008B2187" w:rsidRPr="00687093">
              <w:rPr>
                <w:rFonts w:ascii="Times New Roman" w:hAnsi="Times New Roman"/>
                <w:color w:val="000000"/>
                <w:spacing w:val="-2"/>
              </w:rPr>
              <w:t>zwiększenie liczby procedur</w:t>
            </w:r>
          </w:p>
          <w:p w14:paraId="3317DAFE"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wydłużenie czasu na załatwienie sprawy</w:t>
            </w:r>
          </w:p>
          <w:p w14:paraId="686EB36F" w14:textId="392DB55E"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inne:</w:t>
            </w:r>
            <w:r w:rsidRPr="00687093">
              <w:rPr>
                <w:rFonts w:ascii="Times New Roman" w:hAnsi="Times New Roman"/>
                <w:color w:val="000000"/>
              </w:rPr>
              <w:t xml:space="preserv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r>
      <w:tr w:rsidR="008B2187" w:rsidRPr="00687093" w14:paraId="478E8EDF" w14:textId="77777777" w:rsidTr="008B0DAC">
        <w:trPr>
          <w:gridAfter w:val="1"/>
          <w:wAfter w:w="10" w:type="dxa"/>
          <w:trHeight w:val="870"/>
        </w:trPr>
        <w:tc>
          <w:tcPr>
            <w:tcW w:w="5110" w:type="dxa"/>
            <w:gridSpan w:val="12"/>
            <w:shd w:val="clear" w:color="auto" w:fill="FFFFFF"/>
          </w:tcPr>
          <w:p w14:paraId="1CC9A258"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spacing w:val="-2"/>
              </w:rPr>
              <w:t xml:space="preserve">Wprowadzane obciążenia są przystosowane do ich elektronizacji. </w:t>
            </w:r>
          </w:p>
        </w:tc>
        <w:tc>
          <w:tcPr>
            <w:tcW w:w="5827" w:type="dxa"/>
            <w:gridSpan w:val="17"/>
            <w:shd w:val="clear" w:color="auto" w:fill="FFFFFF"/>
          </w:tcPr>
          <w:p w14:paraId="7E65CC20" w14:textId="0EE756EB"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tak</w:t>
            </w:r>
          </w:p>
          <w:p w14:paraId="2254F6BD" w14:textId="77777777"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nie</w:t>
            </w:r>
          </w:p>
          <w:p w14:paraId="4D94264F" w14:textId="29939E55"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bdr w:val="single" w:sz="4" w:space="0" w:color="auto"/>
              </w:rPr>
              <w:t xml:space="preserve"> </w:t>
            </w:r>
            <w:r w:rsidRPr="00687093">
              <w:rPr>
                <w:rFonts w:ascii="Times New Roman" w:hAnsi="Times New Roman"/>
                <w:color w:val="000000"/>
              </w:rPr>
              <w:t>nie dotyczy</w:t>
            </w:r>
          </w:p>
        </w:tc>
      </w:tr>
      <w:tr w:rsidR="008B2187" w:rsidRPr="00687093" w14:paraId="3B0DF564" w14:textId="77777777" w:rsidTr="00676C8D">
        <w:trPr>
          <w:gridAfter w:val="1"/>
          <w:wAfter w:w="10" w:type="dxa"/>
          <w:trHeight w:val="142"/>
        </w:trPr>
        <w:tc>
          <w:tcPr>
            <w:tcW w:w="10937" w:type="dxa"/>
            <w:gridSpan w:val="29"/>
            <w:shd w:val="clear" w:color="auto" w:fill="99CCFF"/>
          </w:tcPr>
          <w:p w14:paraId="430BE99D" w14:textId="77777777" w:rsidR="008B2187" w:rsidRPr="00687093" w:rsidRDefault="008B2187" w:rsidP="008B2187">
            <w:pPr>
              <w:numPr>
                <w:ilvl w:val="0"/>
                <w:numId w:val="3"/>
              </w:numPr>
              <w:spacing w:line="240" w:lineRule="auto"/>
              <w:jc w:val="both"/>
              <w:rPr>
                <w:rFonts w:ascii="Times New Roman" w:hAnsi="Times New Roman"/>
                <w:b/>
                <w:color w:val="000000"/>
              </w:rPr>
            </w:pPr>
            <w:r w:rsidRPr="00687093">
              <w:rPr>
                <w:rFonts w:ascii="Times New Roman" w:hAnsi="Times New Roman"/>
                <w:b/>
                <w:color w:val="000000"/>
              </w:rPr>
              <w:t xml:space="preserve">Wpływ na rynek pracy </w:t>
            </w:r>
          </w:p>
        </w:tc>
      </w:tr>
      <w:tr w:rsidR="008B2187" w:rsidRPr="00687093" w14:paraId="0BCA89CE" w14:textId="77777777" w:rsidTr="00676C8D">
        <w:trPr>
          <w:gridAfter w:val="1"/>
          <w:wAfter w:w="10" w:type="dxa"/>
          <w:trHeight w:val="142"/>
        </w:trPr>
        <w:tc>
          <w:tcPr>
            <w:tcW w:w="10937" w:type="dxa"/>
            <w:gridSpan w:val="29"/>
            <w:shd w:val="clear" w:color="auto" w:fill="auto"/>
          </w:tcPr>
          <w:p w14:paraId="4FD30E89" w14:textId="477D547A"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 xml:space="preserve">Regulacje zawarte w niniejszym projekcie ustawy generować będą zapotrzebowanie na dodatkowe miejsca pracy zarówno w sektorze energetyki i transportu (dotyczy wytwarzania jak również transportu </w:t>
            </w:r>
            <w:proofErr w:type="spellStart"/>
            <w:r w:rsidRPr="00687093">
              <w:rPr>
                <w:rFonts w:ascii="Times New Roman" w:hAnsi="Times New Roman"/>
                <w:color w:val="000000"/>
              </w:rPr>
              <w:t>biometanu</w:t>
            </w:r>
            <w:proofErr w:type="spellEnd"/>
            <w:r w:rsidRPr="00687093">
              <w:rPr>
                <w:rFonts w:ascii="Times New Roman" w:hAnsi="Times New Roman"/>
                <w:color w:val="000000"/>
              </w:rPr>
              <w:t xml:space="preserve">) oraz w innych sektorach gospodarki – budownictwo, finanse, usługi, itp. </w:t>
            </w:r>
          </w:p>
          <w:p w14:paraId="2FB98B16" w14:textId="5F641385"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Tworzenie nowych miejsc pracy w innowacyjnych sektorach gospodarki stymulować będzie konieczność budowania nowych kompetencji na rynku pracy (w tym lepiej płatnych miejsc pracy), co wpłynie korzystnie na cały sektor gospodarki - budowanie gospodarki opartej na wiedzy.</w:t>
            </w:r>
          </w:p>
          <w:p w14:paraId="3AEA3D91" w14:textId="585C0F57" w:rsidR="008B2187" w:rsidRPr="00687093"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lastRenderedPageBreak/>
              <w:t xml:space="preserve">Na wcześniejszym etapie prac nad regulacją ustawodawca identyfikował ryzyka w zakresie rynku pracy wynikające </w:t>
            </w:r>
            <w:r w:rsidRPr="00687093">
              <w:rPr>
                <w:rFonts w:ascii="Times New Roman" w:hAnsi="Times New Roman"/>
                <w:color w:val="000000"/>
              </w:rPr>
              <w:br/>
              <w:t>z obserwowanych trendów - planowana stopa bezrobocia rejestrowanego na koniec 2020 r. miała wynieść 3,2 % oraz 3% w kolejnych latach (na podstawie danych Narodowego Banku Polskiego z marca 2019 r.). Powyższe oznaczało, że pozyskanie zasobów ludzkich o właściwych kompetencjach mogło być istotnie utrudnione (generować mogło dodatkowe koszty).</w:t>
            </w:r>
          </w:p>
          <w:p w14:paraId="4DAC5657" w14:textId="1D4DB0F5" w:rsidR="008B2187" w:rsidRPr="00687093" w:rsidRDefault="008B2187" w:rsidP="008B2187">
            <w:pPr>
              <w:spacing w:after="120" w:line="240" w:lineRule="auto"/>
              <w:jc w:val="both"/>
              <w:rPr>
                <w:rFonts w:ascii="Times New Roman" w:hAnsi="Times New Roman"/>
                <w:color w:val="000000"/>
              </w:rPr>
            </w:pPr>
            <w:r w:rsidRPr="002C602E">
              <w:rPr>
                <w:rFonts w:ascii="Times New Roman" w:hAnsi="Times New Roman"/>
                <w:color w:val="000000"/>
              </w:rPr>
              <w:t>Obecnie, w związku z pandemią COVID-19 oraz jej wpływem na rynek pracy (prognozowany istotny wzrost stopy bezrobocia wobec wcześniejszych szacunków), powyższe ryzyka mogą się nie zmaterializować. Co więcej, uruchomienie inwestycji</w:t>
            </w:r>
            <w:r w:rsidRPr="009E525D">
              <w:rPr>
                <w:rFonts w:ascii="Times New Roman" w:hAnsi="Times New Roman"/>
              </w:rPr>
              <w:t xml:space="preserve"> w odnawialne źródła energii</w:t>
            </w:r>
            <w:r w:rsidRPr="002C602E">
              <w:rPr>
                <w:rFonts w:ascii="Times New Roman" w:hAnsi="Times New Roman"/>
                <w:color w:val="000000"/>
              </w:rPr>
              <w:t xml:space="preserve"> i </w:t>
            </w:r>
            <w:proofErr w:type="spellStart"/>
            <w:r w:rsidRPr="002C602E">
              <w:rPr>
                <w:rFonts w:ascii="Times New Roman" w:hAnsi="Times New Roman"/>
                <w:color w:val="000000"/>
              </w:rPr>
              <w:t>biometan</w:t>
            </w:r>
            <w:proofErr w:type="spellEnd"/>
            <w:r w:rsidRPr="002C602E">
              <w:rPr>
                <w:rFonts w:ascii="Times New Roman" w:hAnsi="Times New Roman"/>
                <w:color w:val="000000"/>
              </w:rPr>
              <w:t xml:space="preserve"> może dać silny impuls dla rozwoju gospodarczego, który będzie jednym z elementów odbudowy polskiej gospodarki po okresie spowolnienia wywołanym pandemią COVID</w:t>
            </w:r>
            <w:r w:rsidRPr="00687093">
              <w:rPr>
                <w:rFonts w:ascii="Times New Roman" w:hAnsi="Times New Roman"/>
                <w:color w:val="000000"/>
              </w:rPr>
              <w:t xml:space="preserve">-19. </w:t>
            </w:r>
          </w:p>
          <w:p w14:paraId="18C1ACD9" w14:textId="77777777" w:rsidR="008B2187" w:rsidRDefault="008B2187" w:rsidP="008B2187">
            <w:pPr>
              <w:spacing w:after="120" w:line="240" w:lineRule="auto"/>
              <w:jc w:val="both"/>
              <w:rPr>
                <w:rFonts w:ascii="Times New Roman" w:hAnsi="Times New Roman"/>
                <w:color w:val="000000"/>
              </w:rPr>
            </w:pPr>
            <w:r w:rsidRPr="00687093">
              <w:rPr>
                <w:rFonts w:ascii="Times New Roman" w:hAnsi="Times New Roman"/>
                <w:color w:val="000000"/>
              </w:rPr>
              <w:t>Ostateczna liczba nowoutworzonych miejsc pracy wynikać będzie również ze stopnia rozwoju lokalnego łańcucha dostaw.</w:t>
            </w:r>
          </w:p>
          <w:p w14:paraId="5910D174" w14:textId="60E1E1FB" w:rsidR="008B2187" w:rsidRPr="00D2667D" w:rsidRDefault="008B2187" w:rsidP="002B32ED">
            <w:pPr>
              <w:spacing w:after="120" w:line="240" w:lineRule="auto"/>
              <w:jc w:val="both"/>
              <w:rPr>
                <w:rFonts w:ascii="Times New Roman" w:hAnsi="Times New Roman"/>
                <w:color w:val="000000"/>
              </w:rPr>
            </w:pPr>
            <w:r w:rsidRPr="00D2667D">
              <w:rPr>
                <w:rFonts w:ascii="Times New Roman" w:hAnsi="Times New Roman"/>
                <w:color w:val="000000"/>
              </w:rPr>
              <w:t>Przewiduje się pozytywny wpływ na rynek pracy w sektorze budownictwa infrastrukturalnego</w:t>
            </w:r>
            <w:r>
              <w:rPr>
                <w:rFonts w:ascii="Times New Roman" w:hAnsi="Times New Roman"/>
                <w:color w:val="000000"/>
              </w:rPr>
              <w:t>,</w:t>
            </w:r>
            <w:r w:rsidRPr="00D2667D">
              <w:rPr>
                <w:rFonts w:ascii="Times New Roman" w:hAnsi="Times New Roman"/>
                <w:color w:val="000000"/>
              </w:rPr>
              <w:t xml:space="preserve"> wynikający ze przewidywanego zwiększenia inwestycji w zakresie modernizacji istniejących i budowy nowych systemów ciepłowniczych</w:t>
            </w:r>
            <w:r w:rsidR="001A27B9">
              <w:rPr>
                <w:rFonts w:ascii="Times New Roman" w:hAnsi="Times New Roman"/>
                <w:color w:val="000000"/>
              </w:rPr>
              <w:t xml:space="preserve"> i innych technologii OZE</w:t>
            </w:r>
            <w:r w:rsidRPr="00D2667D">
              <w:rPr>
                <w:rFonts w:ascii="Times New Roman" w:hAnsi="Times New Roman"/>
                <w:color w:val="000000"/>
              </w:rPr>
              <w:t xml:space="preserve">, do czego powinno się przyczynić wprowadzenie dodatkowego mechanizmu pozwalającego na dofinansowywanie tego typu przedsięwzięć. Powyższe przełoży się na ożywienie gospodarcze w obszarze firm realizujących prace i usługi związane w pierwszej kolejności z etapem budowlanym inwestycji, a następnie z eksploatacją w perspektywie całego okresu wykorzystania danej technologii. Nowe kontrakty na wykonawstwo usług: projektowych, budowlanych, dostarczania paliwa, serwisu, przełożą się na potrzebę zwiększenia zatrudnienia przez podmioty realizujące działalność gospodarczą w przytaczanym powyżej zakresie. </w:t>
            </w:r>
          </w:p>
          <w:p w14:paraId="218BD080" w14:textId="6879C756" w:rsidR="00064CC9" w:rsidRPr="00687093" w:rsidRDefault="008B2187" w:rsidP="008B2187">
            <w:pPr>
              <w:spacing w:after="120" w:line="240" w:lineRule="auto"/>
              <w:jc w:val="both"/>
              <w:rPr>
                <w:rFonts w:ascii="Times New Roman" w:hAnsi="Times New Roman"/>
                <w:color w:val="000000"/>
              </w:rPr>
            </w:pPr>
            <w:r w:rsidRPr="00D2667D">
              <w:rPr>
                <w:rFonts w:ascii="Times New Roman" w:hAnsi="Times New Roman"/>
                <w:color w:val="000000"/>
              </w:rPr>
              <w:t xml:space="preserve">Dodatkowo, przewiduje się pośrednie skutki w branżach urządzeń wykorzystywanych w systemach ciepłowniczych (rury, zawory, liczniki, itp.) </w:t>
            </w:r>
            <w:r w:rsidR="001A27B9">
              <w:rPr>
                <w:rFonts w:ascii="Times New Roman" w:hAnsi="Times New Roman"/>
                <w:color w:val="000000"/>
              </w:rPr>
              <w:t xml:space="preserve">oraz w innych technologiach OZE </w:t>
            </w:r>
            <w:r w:rsidRPr="00D2667D">
              <w:rPr>
                <w:rFonts w:ascii="Times New Roman" w:hAnsi="Times New Roman"/>
                <w:color w:val="000000"/>
              </w:rPr>
              <w:t>co z kolei spowoduje przyrost miejsc pracy wśród producentów dedykowanych urządzeń. Możliwość odłączania się od systemu ciepłowniczego przez odbiorców planujących wykorzystanie indywidualnych źródeł ciepła działających w oparciu o odnawialne źródła energii, a także obowiązek przyłączania instalacji odnawialnego źródła energii do systemów ciepłowniczych i zakupu ciepła z takich instalacji może wpłynąć w pośredni sposób na wzrost zatrudnienia w sektorach gospodarki zajmujących się odnawialnymi źródłami energii dostarczającymi ciepło.</w:t>
            </w:r>
          </w:p>
        </w:tc>
      </w:tr>
      <w:tr w:rsidR="008B2187" w:rsidRPr="00687093" w14:paraId="74EB2564" w14:textId="77777777" w:rsidTr="00676C8D">
        <w:trPr>
          <w:gridAfter w:val="1"/>
          <w:wAfter w:w="10" w:type="dxa"/>
          <w:trHeight w:val="142"/>
        </w:trPr>
        <w:tc>
          <w:tcPr>
            <w:tcW w:w="10937" w:type="dxa"/>
            <w:gridSpan w:val="29"/>
            <w:shd w:val="clear" w:color="auto" w:fill="99CCFF"/>
          </w:tcPr>
          <w:p w14:paraId="74156C5D" w14:textId="77777777" w:rsidR="008B2187" w:rsidRPr="00687093" w:rsidRDefault="008B2187" w:rsidP="008B2187">
            <w:pPr>
              <w:numPr>
                <w:ilvl w:val="0"/>
                <w:numId w:val="3"/>
              </w:numPr>
              <w:spacing w:line="240" w:lineRule="auto"/>
              <w:jc w:val="both"/>
              <w:rPr>
                <w:rFonts w:ascii="Times New Roman" w:hAnsi="Times New Roman"/>
                <w:b/>
                <w:color w:val="000000"/>
              </w:rPr>
            </w:pPr>
            <w:r w:rsidRPr="00687093">
              <w:rPr>
                <w:rFonts w:ascii="Times New Roman" w:hAnsi="Times New Roman"/>
                <w:b/>
                <w:color w:val="000000"/>
              </w:rPr>
              <w:lastRenderedPageBreak/>
              <w:t>Wpływ na pozostałe obszary</w:t>
            </w:r>
          </w:p>
        </w:tc>
      </w:tr>
      <w:tr w:rsidR="008B2187" w:rsidRPr="00687093" w14:paraId="022B1D27" w14:textId="77777777" w:rsidTr="00D34F3C">
        <w:trPr>
          <w:gridAfter w:val="1"/>
          <w:wAfter w:w="10" w:type="dxa"/>
          <w:trHeight w:val="906"/>
        </w:trPr>
        <w:tc>
          <w:tcPr>
            <w:tcW w:w="3546" w:type="dxa"/>
            <w:gridSpan w:val="5"/>
            <w:shd w:val="clear" w:color="auto" w:fill="FFFFFF"/>
          </w:tcPr>
          <w:p w14:paraId="1C855917" w14:textId="660CC616"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środowisko naturalne</w:t>
            </w:r>
          </w:p>
          <w:p w14:paraId="42B77789" w14:textId="058D207F" w:rsidR="008B2187"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sytuacja i rozwój regionalny</w:t>
            </w:r>
          </w:p>
          <w:p w14:paraId="137194BE" w14:textId="6836251D" w:rsidR="008B2187" w:rsidRPr="00687093" w:rsidRDefault="00D62360">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242A40D7"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demografia</w:t>
            </w:r>
          </w:p>
          <w:p w14:paraId="48963711" w14:textId="77777777" w:rsidR="00D62360"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mienie państwowe</w:t>
            </w:r>
          </w:p>
          <w:p w14:paraId="0406455C" w14:textId="500E1DB3" w:rsidR="008B2187" w:rsidRPr="00687093" w:rsidRDefault="00D62360"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 xml:space="preserve">inne: </w:t>
            </w:r>
            <w:r w:rsidRPr="000D14B1">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87093">
              <w:rPr>
                <w:rFonts w:ascii="Times New Roman" w:hAnsi="Times New Roman"/>
                <w:color w:val="000000"/>
              </w:rPr>
              <w:instrText xml:space="preserve"> FORMTEXT </w:instrText>
            </w:r>
            <w:r w:rsidRPr="000D14B1">
              <w:rPr>
                <w:rFonts w:ascii="Times New Roman" w:hAnsi="Times New Roman"/>
                <w:color w:val="000000"/>
              </w:rPr>
            </w:r>
            <w:r w:rsidRPr="000D14B1">
              <w:rPr>
                <w:rFonts w:ascii="Times New Roman" w:hAnsi="Times New Roman"/>
                <w:color w:val="000000"/>
              </w:rPr>
              <w:fldChar w:fldCharType="separate"/>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687093">
              <w:rPr>
                <w:rFonts w:ascii="Times New Roman" w:hAnsi="Times New Roman"/>
                <w:noProof/>
                <w:color w:val="000000"/>
              </w:rPr>
              <w:t> </w:t>
            </w:r>
            <w:r w:rsidRPr="000D14B1">
              <w:rPr>
                <w:rFonts w:ascii="Times New Roman" w:hAnsi="Times New Roman"/>
                <w:color w:val="000000"/>
              </w:rPr>
              <w:fldChar w:fldCharType="end"/>
            </w:r>
          </w:p>
        </w:tc>
        <w:tc>
          <w:tcPr>
            <w:tcW w:w="3704" w:type="dxa"/>
            <w:gridSpan w:val="9"/>
            <w:shd w:val="clear" w:color="auto" w:fill="FFFFFF"/>
          </w:tcPr>
          <w:p w14:paraId="28A31041" w14:textId="77777777" w:rsidR="008B2187" w:rsidRPr="00687093" w:rsidRDefault="008B2187" w:rsidP="008B2187">
            <w:pPr>
              <w:spacing w:line="240" w:lineRule="auto"/>
              <w:rPr>
                <w:rFonts w:ascii="Times New Roman" w:hAnsi="Times New Roman"/>
                <w:color w:val="000000"/>
                <w:spacing w:val="-2"/>
              </w:rPr>
            </w:pPr>
            <w:r w:rsidRPr="00903698">
              <w:rPr>
                <w:rFonts w:ascii="Times New Roman" w:hAnsi="Times New Roman"/>
                <w:color w:val="000000"/>
              </w:rPr>
              <w:fldChar w:fldCharType="begin">
                <w:ffData>
                  <w:name w:val="Wybór1"/>
                  <w:enabled/>
                  <w:calcOnExit w:val="0"/>
                  <w:checkBox>
                    <w:sizeAuto/>
                    <w:default w:val="0"/>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informatyzacja</w:t>
            </w:r>
          </w:p>
          <w:p w14:paraId="12B34357" w14:textId="1F69F0C9" w:rsidR="008B2187" w:rsidRPr="00687093" w:rsidRDefault="008B2187" w:rsidP="008B2187">
            <w:pPr>
              <w:spacing w:line="240" w:lineRule="auto"/>
              <w:rPr>
                <w:rFonts w:ascii="Times New Roman" w:hAnsi="Times New Roman"/>
                <w:color w:val="000000"/>
              </w:rPr>
            </w:pPr>
            <w:r w:rsidRPr="00903698">
              <w:rPr>
                <w:rFonts w:ascii="Times New Roman" w:hAnsi="Times New Roman"/>
                <w:color w:val="000000"/>
              </w:rPr>
              <w:fldChar w:fldCharType="begin">
                <w:ffData>
                  <w:name w:val=""/>
                  <w:enabled/>
                  <w:calcOnExit w:val="0"/>
                  <w:checkBox>
                    <w:sizeAuto/>
                    <w:default w:val="1"/>
                  </w:checkBox>
                </w:ffData>
              </w:fldChar>
            </w:r>
            <w:r w:rsidRPr="00687093">
              <w:rPr>
                <w:rFonts w:ascii="Times New Roman" w:hAnsi="Times New Roman"/>
                <w:color w:val="000000"/>
              </w:rPr>
              <w:instrText xml:space="preserve"> FORMCHECKBOX </w:instrText>
            </w:r>
            <w:r w:rsidR="0042778E">
              <w:rPr>
                <w:rFonts w:ascii="Times New Roman" w:hAnsi="Times New Roman"/>
                <w:color w:val="000000"/>
              </w:rPr>
            </w:r>
            <w:r w:rsidR="0042778E">
              <w:rPr>
                <w:rFonts w:ascii="Times New Roman" w:hAnsi="Times New Roman"/>
                <w:color w:val="000000"/>
              </w:rPr>
              <w:fldChar w:fldCharType="separate"/>
            </w:r>
            <w:r w:rsidRPr="00903698">
              <w:rPr>
                <w:rFonts w:ascii="Times New Roman" w:hAnsi="Times New Roman"/>
                <w:color w:val="000000"/>
              </w:rPr>
              <w:fldChar w:fldCharType="end"/>
            </w:r>
            <w:r w:rsidRPr="00687093">
              <w:rPr>
                <w:rFonts w:ascii="Times New Roman" w:hAnsi="Times New Roman"/>
                <w:color w:val="000000"/>
              </w:rPr>
              <w:t xml:space="preserve"> </w:t>
            </w:r>
            <w:r w:rsidRPr="00687093">
              <w:rPr>
                <w:rFonts w:ascii="Times New Roman" w:hAnsi="Times New Roman"/>
                <w:color w:val="000000"/>
                <w:spacing w:val="-2"/>
              </w:rPr>
              <w:t>zdrowie</w:t>
            </w:r>
          </w:p>
        </w:tc>
      </w:tr>
      <w:tr w:rsidR="008B2187" w:rsidRPr="00687093" w14:paraId="2116078D" w14:textId="77777777" w:rsidTr="008B0DAC">
        <w:trPr>
          <w:gridAfter w:val="1"/>
          <w:wAfter w:w="10" w:type="dxa"/>
          <w:trHeight w:val="274"/>
        </w:trPr>
        <w:tc>
          <w:tcPr>
            <w:tcW w:w="2242" w:type="dxa"/>
            <w:gridSpan w:val="2"/>
            <w:shd w:val="clear" w:color="auto" w:fill="FFFFFF"/>
            <w:vAlign w:val="center"/>
          </w:tcPr>
          <w:p w14:paraId="4B0A0BA7" w14:textId="77777777" w:rsidR="008B2187" w:rsidRPr="00687093" w:rsidRDefault="008B2187" w:rsidP="008B2187">
            <w:pPr>
              <w:spacing w:line="240" w:lineRule="auto"/>
              <w:rPr>
                <w:rFonts w:ascii="Times New Roman" w:hAnsi="Times New Roman"/>
                <w:color w:val="000000"/>
              </w:rPr>
            </w:pPr>
            <w:r w:rsidRPr="00687093">
              <w:rPr>
                <w:rFonts w:ascii="Times New Roman" w:hAnsi="Times New Roman"/>
                <w:color w:val="000000"/>
              </w:rPr>
              <w:t>Omówienie wpływu</w:t>
            </w:r>
          </w:p>
        </w:tc>
        <w:tc>
          <w:tcPr>
            <w:tcW w:w="8695" w:type="dxa"/>
            <w:gridSpan w:val="27"/>
            <w:shd w:val="clear" w:color="auto" w:fill="FFFFFF"/>
            <w:vAlign w:val="center"/>
          </w:tcPr>
          <w:p w14:paraId="54DA0028" w14:textId="5519137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Wykorzystanie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będzie redukowało emisję gazów cieplarnianych do atmosfery w związku z ograniczeniem (w zależności od sposobu jego ostatecznego wykorzystania) gazu ziemnego lub ropy naftowej wykorzystywanej do produkcji paliw ciekłych.</w:t>
            </w:r>
          </w:p>
          <w:p w14:paraId="501BEFF0" w14:textId="3DEB2961" w:rsidR="008B2187"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Instalacje do produkcji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będą rozproszone na terenie całego kraju, powstawać będą przede wszystkim w pobliżu źródła surowca (odpady przemysłu rolno-spożywczego, odpady komunalne, itp.) co wpłynie pozytywnie na aktywizację i rozwój tych terenów.</w:t>
            </w:r>
          </w:p>
          <w:p w14:paraId="0371CC2B" w14:textId="77777777"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 xml:space="preserve">W przypadku instalacji wytwarzających </w:t>
            </w:r>
            <w:proofErr w:type="spellStart"/>
            <w:r>
              <w:rPr>
                <w:rFonts w:ascii="Times New Roman" w:hAnsi="Times New Roman"/>
                <w:color w:val="000000"/>
                <w:spacing w:val="-2"/>
              </w:rPr>
              <w:t>biometan</w:t>
            </w:r>
            <w:proofErr w:type="spellEnd"/>
            <w:r>
              <w:rPr>
                <w:rFonts w:ascii="Times New Roman" w:hAnsi="Times New Roman"/>
                <w:color w:val="000000"/>
                <w:spacing w:val="-2"/>
              </w:rPr>
              <w:t>, korzystających z różnego rodzaju odpadów, instalacje te wpisują się w koncepcję gospodarki o obiegu zamkniętym, gdzie przy jednoczesnym odzysku energii zmniejsza się konieczność stosowania mniej pożądanych sposobów postępowania z odpadami poprzez ich składowanie.</w:t>
            </w:r>
          </w:p>
          <w:p w14:paraId="721D72DE" w14:textId="0EF3EB69"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Rozwój instalacji biogazu rolniczego potwierdza, że powiązane funkcjonowanie tych instalacji z przetwórniami rolniczymi, gorzelniami oraz zakładami przetwórstwa rolno-spożywczego pozwala na obniżenie kosztów wytwarzania biogazu i/lub obniżenie kosztów funkcjonowania zakładów, które wykorzystują surowce do procesów fermentacji. Potwierdzeniem tego kierunku jest wzrastający odsetek wykorzystania substratów odpadowych w stosunku do ilości substratów z upraw celowych. Zgodnie z danymi przekazanymi przez KOWR, w 2019 r udział ten kształtował się następująco: 13,8% surowce celowe, 86,20% surowce odpadowe, natomiast najwięcej biogazu powstało z: wywaru gorzelnianego (817 199 ton), pozostałości z owoców i warzyw (768 890 ton) gnojowicy (733 452 ton).</w:t>
            </w:r>
          </w:p>
          <w:p w14:paraId="019F4D2D" w14:textId="4704E4C1" w:rsidR="008B2187"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 xml:space="preserve">Oszacowanie wpływu wykorzystania surowców odpadowych do produkcji </w:t>
            </w:r>
            <w:proofErr w:type="spellStart"/>
            <w:r>
              <w:rPr>
                <w:rFonts w:ascii="Times New Roman" w:hAnsi="Times New Roman"/>
                <w:color w:val="000000"/>
                <w:spacing w:val="-2"/>
              </w:rPr>
              <w:t>biometanu</w:t>
            </w:r>
            <w:proofErr w:type="spellEnd"/>
            <w:r>
              <w:rPr>
                <w:rFonts w:ascii="Times New Roman" w:hAnsi="Times New Roman"/>
                <w:color w:val="000000"/>
                <w:spacing w:val="-2"/>
              </w:rPr>
              <w:t xml:space="preserve"> nie jest zadaniem łatwym, z uwagi na specyfikę sytuacji poszczególnych przedsiębiorców, czy też koszty związane z alternatywnymi sposobami zagospodarowania odpadów i pozostałości poprodukcyjnych – tym niemniej istniejący trend potwierdza, iż jest to efektywne ekonomicznie i uzasadnione podejście z punktu widzenia przedsiębiorców. Przyjęte rozwiązania w zakresie </w:t>
            </w:r>
            <w:proofErr w:type="spellStart"/>
            <w:r>
              <w:rPr>
                <w:rFonts w:ascii="Times New Roman" w:hAnsi="Times New Roman"/>
                <w:color w:val="000000"/>
                <w:spacing w:val="-2"/>
              </w:rPr>
              <w:t>biometanu</w:t>
            </w:r>
            <w:proofErr w:type="spellEnd"/>
            <w:r>
              <w:rPr>
                <w:rFonts w:ascii="Times New Roman" w:hAnsi="Times New Roman"/>
                <w:color w:val="000000"/>
                <w:spacing w:val="-2"/>
              </w:rPr>
              <w:t xml:space="preserve"> będą wspierały szersze wykorzystanie kolejnych substratów pochodzących z przemysłu rolno-spożywczego, takich jak: odpady z cukrowni, rzeźni, gorzelni, browarów, mleczarni czy przetwórstwa rolno-spożywczego, poprawiając sytuację finansową zarówno wytwórców biogazu </w:t>
            </w:r>
            <w:r>
              <w:rPr>
                <w:rFonts w:ascii="Times New Roman" w:hAnsi="Times New Roman"/>
                <w:color w:val="000000"/>
                <w:spacing w:val="-2"/>
              </w:rPr>
              <w:lastRenderedPageBreak/>
              <w:t xml:space="preserve">(tani surowiec) jak również przedstawicieli ww. branż (ograniczenie kosztów składowania odpadów). </w:t>
            </w:r>
          </w:p>
          <w:p w14:paraId="439926DA" w14:textId="0CF3061F" w:rsidR="008B2187" w:rsidRPr="00687093"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 xml:space="preserve">Wytwarzanie biogazu na potrzeby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xml:space="preserve"> będzie miało również pozytywny wpływ na zdrowie w przypadku wykorzystania gnojowicy jako surowca do wytwarzania </w:t>
            </w:r>
            <w:proofErr w:type="spellStart"/>
            <w:r w:rsidRPr="00687093">
              <w:rPr>
                <w:rFonts w:ascii="Times New Roman" w:hAnsi="Times New Roman"/>
                <w:color w:val="000000"/>
                <w:spacing w:val="-2"/>
              </w:rPr>
              <w:t>biometanu</w:t>
            </w:r>
            <w:proofErr w:type="spellEnd"/>
            <w:r w:rsidRPr="00687093">
              <w:rPr>
                <w:rFonts w:ascii="Times New Roman" w:hAnsi="Times New Roman"/>
                <w:color w:val="000000"/>
                <w:spacing w:val="-2"/>
              </w:rPr>
              <w:t>. Wiąże się to przede wszystkim z następującymi kwestami: (1) eliminacją patogenów w wyniku procesu higienizacji, (2) redukcja odorów w porównaniu do stosowania do nawożenia surowej gnojowicy (szacowane na ok. 80%).</w:t>
            </w:r>
          </w:p>
          <w:p w14:paraId="752AD819" w14:textId="77777777" w:rsidR="008B2187" w:rsidRDefault="008B2187" w:rsidP="008B2187">
            <w:pPr>
              <w:spacing w:after="120" w:line="240" w:lineRule="auto"/>
              <w:jc w:val="both"/>
              <w:rPr>
                <w:rFonts w:ascii="Times New Roman" w:hAnsi="Times New Roman"/>
                <w:color w:val="000000"/>
                <w:spacing w:val="-2"/>
              </w:rPr>
            </w:pPr>
            <w:r w:rsidRPr="00687093">
              <w:rPr>
                <w:rFonts w:ascii="Times New Roman" w:hAnsi="Times New Roman"/>
                <w:color w:val="000000"/>
                <w:spacing w:val="-2"/>
              </w:rPr>
              <w:t>Wpływa to nie tylko na poprawę warunków nawożenia pól uprawnych w porównaniu z nieprzefermentowaną gnojowicą oraz zmniejsza ryzyko zanieczyszczenia wód gruntowych i powierzchniowych. Fermentacja beztlenowa istotnie poprawia jakość nawozu organicznego jakim jest gnojowica, podnosząc zawartość N-NH4 do 90% (zawartość dla gnojowicy nie przekracza 50%) – co istotnie ułatwia przyswajanie przez rośliny zmniejszając zagrożenie wymywania i eutrofizacji wód. W efekcie istotnie zmniejszy się ładunek biogenów wymywanych z pól i transportowanych rzekami do zlewni Morza Bałtyckiego.</w:t>
            </w:r>
          </w:p>
          <w:p w14:paraId="5B6DDF22" w14:textId="07B131BE" w:rsidR="008B2187" w:rsidRPr="00687093" w:rsidRDefault="008B2187" w:rsidP="008B2187">
            <w:pPr>
              <w:spacing w:after="120" w:line="240" w:lineRule="auto"/>
              <w:jc w:val="both"/>
              <w:rPr>
                <w:rFonts w:ascii="Times New Roman" w:hAnsi="Times New Roman"/>
                <w:color w:val="000000"/>
                <w:spacing w:val="-2"/>
              </w:rPr>
            </w:pPr>
            <w:r>
              <w:rPr>
                <w:rFonts w:ascii="Times New Roman" w:hAnsi="Times New Roman"/>
                <w:color w:val="000000"/>
                <w:spacing w:val="-2"/>
              </w:rPr>
              <w:t>Wdrożenie proponowanych rozwiązań powinno przyczynić się do zwiększenia udziału ciepła systemowego w ogrzewaniu mieszkań i domów jednorodzinnych, zwłaszcza w ośrodkach miejskich. Zwiększenie wykorzystania systemów ciepłowniczych oraz przewidywane rosnące nasycenie tych systemów ciepłem wytwarzanym w odnawialnych źródłach energii sprzyjać będzie poprawie jakości życia w szczególności w miastach. Powyższe powinno wywrzeć pozytywny wpływ na czystość powietrza w aglomeracjach, co w oczywisty sposób przełoży się na poprawę stanu zdrowia społeczeństwa. Dodatkowe środki przeznaczone na inwestycje powinny sprzyjać aktywności i stymulować rozwój gospodarczy zwłaszcza w regionach, w których istnieje duży potencjał do wykorzystania ciepła systemowego.</w:t>
            </w:r>
          </w:p>
        </w:tc>
      </w:tr>
      <w:tr w:rsidR="008B2187" w:rsidRPr="00687093" w14:paraId="7409948E" w14:textId="77777777" w:rsidTr="00676C8D">
        <w:trPr>
          <w:gridAfter w:val="1"/>
          <w:wAfter w:w="10" w:type="dxa"/>
          <w:trHeight w:val="142"/>
        </w:trPr>
        <w:tc>
          <w:tcPr>
            <w:tcW w:w="10937" w:type="dxa"/>
            <w:gridSpan w:val="29"/>
            <w:shd w:val="clear" w:color="auto" w:fill="99CCFF"/>
          </w:tcPr>
          <w:p w14:paraId="652C6AC9" w14:textId="77777777" w:rsidR="008B2187" w:rsidRPr="00687093" w:rsidRDefault="008B2187" w:rsidP="008B2187">
            <w:pPr>
              <w:numPr>
                <w:ilvl w:val="0"/>
                <w:numId w:val="3"/>
              </w:numPr>
              <w:spacing w:line="240" w:lineRule="auto"/>
              <w:ind w:left="318" w:hanging="284"/>
              <w:jc w:val="both"/>
              <w:rPr>
                <w:rFonts w:ascii="Times New Roman" w:hAnsi="Times New Roman"/>
                <w:b/>
              </w:rPr>
            </w:pPr>
            <w:r w:rsidRPr="00687093">
              <w:rPr>
                <w:rFonts w:ascii="Times New Roman" w:hAnsi="Times New Roman"/>
                <w:b/>
                <w:spacing w:val="-2"/>
              </w:rPr>
              <w:lastRenderedPageBreak/>
              <w:t>Planowane wykonanie przepisów aktu prawnego</w:t>
            </w:r>
          </w:p>
        </w:tc>
      </w:tr>
      <w:tr w:rsidR="008B2187" w:rsidRPr="00687093" w14:paraId="2776502F" w14:textId="77777777" w:rsidTr="00676C8D">
        <w:trPr>
          <w:gridAfter w:val="1"/>
          <w:wAfter w:w="10" w:type="dxa"/>
          <w:trHeight w:val="142"/>
        </w:trPr>
        <w:tc>
          <w:tcPr>
            <w:tcW w:w="10937" w:type="dxa"/>
            <w:gridSpan w:val="29"/>
            <w:shd w:val="clear" w:color="auto" w:fill="FFFFFF"/>
          </w:tcPr>
          <w:p w14:paraId="2E950F3D" w14:textId="7287276A" w:rsidR="008B2187" w:rsidRPr="009E525D" w:rsidRDefault="009275A6" w:rsidP="008B2187">
            <w:pPr>
              <w:spacing w:line="240" w:lineRule="auto"/>
              <w:jc w:val="both"/>
              <w:rPr>
                <w:rFonts w:ascii="Times New Roman" w:hAnsi="Times New Roman"/>
              </w:rPr>
            </w:pPr>
            <w:bookmarkStart w:id="27" w:name="_Hlk90553664"/>
            <w:r w:rsidRPr="009275A6">
              <w:rPr>
                <w:rFonts w:ascii="Times New Roman" w:hAnsi="Times New Roman"/>
              </w:rPr>
              <w:t xml:space="preserve">Planuje się, że ustawa wejdzie w życie w dniu 1 stycznia 2023 </w:t>
            </w:r>
            <w:r w:rsidR="009B19D0">
              <w:rPr>
                <w:rFonts w:ascii="Times New Roman" w:hAnsi="Times New Roman"/>
              </w:rPr>
              <w:t>r.</w:t>
            </w:r>
            <w:r w:rsidRPr="009275A6">
              <w:rPr>
                <w:rFonts w:ascii="Times New Roman" w:hAnsi="Times New Roman"/>
              </w:rPr>
              <w:t>, z wyjątkiem przepisów, które powinny wejść w życie z uwzględnieniem odpowiednie</w:t>
            </w:r>
            <w:r w:rsidR="00373546">
              <w:rPr>
                <w:rFonts w:ascii="Times New Roman" w:hAnsi="Times New Roman"/>
              </w:rPr>
              <w:t>j</w:t>
            </w:r>
            <w:r w:rsidRPr="009275A6">
              <w:rPr>
                <w:rFonts w:ascii="Times New Roman" w:hAnsi="Times New Roman"/>
              </w:rPr>
              <w:t xml:space="preserve"> vacatio legis.</w:t>
            </w:r>
            <w:bookmarkEnd w:id="27"/>
          </w:p>
        </w:tc>
      </w:tr>
      <w:tr w:rsidR="008B2187" w:rsidRPr="00687093" w14:paraId="65C719C3" w14:textId="77777777" w:rsidTr="00676C8D">
        <w:trPr>
          <w:gridAfter w:val="1"/>
          <w:wAfter w:w="10" w:type="dxa"/>
          <w:trHeight w:val="142"/>
        </w:trPr>
        <w:tc>
          <w:tcPr>
            <w:tcW w:w="10937" w:type="dxa"/>
            <w:gridSpan w:val="29"/>
            <w:shd w:val="clear" w:color="auto" w:fill="99CCFF"/>
          </w:tcPr>
          <w:p w14:paraId="00EED752"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rPr>
            </w:pPr>
            <w:r w:rsidRPr="00687093">
              <w:rPr>
                <w:rFonts w:ascii="Times New Roman" w:hAnsi="Times New Roman"/>
                <w:b/>
                <w:color w:val="000000"/>
              </w:rPr>
              <w:t xml:space="preserve"> </w:t>
            </w:r>
            <w:r w:rsidRPr="00687093">
              <w:rPr>
                <w:rFonts w:ascii="Times New Roman" w:hAnsi="Times New Roman"/>
                <w:b/>
                <w:spacing w:val="-2"/>
              </w:rPr>
              <w:t>W jaki sposób i kiedy nastąpi ewaluacja efektów projektu oraz jakie mierniki zostaną zastosowane?</w:t>
            </w:r>
          </w:p>
        </w:tc>
      </w:tr>
      <w:tr w:rsidR="008B2187" w:rsidRPr="00687093" w14:paraId="484D1F8B" w14:textId="77777777" w:rsidTr="00676C8D">
        <w:trPr>
          <w:gridAfter w:val="1"/>
          <w:wAfter w:w="10" w:type="dxa"/>
          <w:trHeight w:val="142"/>
        </w:trPr>
        <w:tc>
          <w:tcPr>
            <w:tcW w:w="10937" w:type="dxa"/>
            <w:gridSpan w:val="29"/>
            <w:shd w:val="clear" w:color="auto" w:fill="FFFFFF"/>
          </w:tcPr>
          <w:p w14:paraId="223437CB" w14:textId="5E99BC4F" w:rsidR="008B2187" w:rsidRPr="00687093" w:rsidRDefault="008B2187" w:rsidP="00C8288B">
            <w:pPr>
              <w:spacing w:line="240" w:lineRule="auto"/>
              <w:jc w:val="both"/>
              <w:rPr>
                <w:rFonts w:ascii="Times New Roman" w:hAnsi="Times New Roman"/>
                <w:color w:val="000000"/>
                <w:spacing w:val="-2"/>
              </w:rPr>
            </w:pPr>
            <w:r w:rsidRPr="00D2667D">
              <w:rPr>
                <w:rFonts w:ascii="Times New Roman" w:hAnsi="Times New Roman"/>
              </w:rPr>
              <w:t xml:space="preserve">Ponieważ przedmiotowa ustawa ma na celu wdrożenie </w:t>
            </w:r>
            <w:r>
              <w:rPr>
                <w:rFonts w:ascii="Times New Roman" w:hAnsi="Times New Roman"/>
              </w:rPr>
              <w:t>RED II</w:t>
            </w:r>
            <w:r w:rsidRPr="00D2667D">
              <w:rPr>
                <w:rFonts w:ascii="Times New Roman" w:hAnsi="Times New Roman"/>
              </w:rPr>
              <w:t>, a zgodnie z tą dyrektywą, państwa członkowskie są zobowiązane do raportowania realizacji celu w zakresie odnawialnych źródeł energii na rok 2030</w:t>
            </w:r>
            <w:r>
              <w:rPr>
                <w:rFonts w:ascii="Times New Roman" w:hAnsi="Times New Roman"/>
              </w:rPr>
              <w:t>, o</w:t>
            </w:r>
            <w:r w:rsidRPr="00D2667D">
              <w:rPr>
                <w:rFonts w:ascii="Times New Roman" w:hAnsi="Times New Roman"/>
              </w:rPr>
              <w:t xml:space="preserve">cena efektów będzie dokonywana </w:t>
            </w:r>
            <w:r w:rsidR="00C8288B">
              <w:rPr>
                <w:rFonts w:ascii="Times New Roman" w:hAnsi="Times New Roman"/>
              </w:rPr>
              <w:t xml:space="preserve">w </w:t>
            </w:r>
            <w:r w:rsidR="00C8288B" w:rsidRPr="00C8288B">
              <w:rPr>
                <w:rFonts w:ascii="Times New Roman" w:hAnsi="Times New Roman"/>
              </w:rPr>
              <w:t xml:space="preserve">sposób ogólny i zagregowany w </w:t>
            </w:r>
            <w:r w:rsidRPr="00D2667D">
              <w:rPr>
                <w:rFonts w:ascii="Times New Roman" w:hAnsi="Times New Roman"/>
              </w:rPr>
              <w:t xml:space="preserve">ramach procedur sprawozdawczości </w:t>
            </w:r>
            <w:r w:rsidR="00C8288B">
              <w:rPr>
                <w:rFonts w:ascii="Times New Roman" w:hAnsi="Times New Roman"/>
              </w:rPr>
              <w:t xml:space="preserve">dotyczących </w:t>
            </w:r>
            <w:r w:rsidRPr="00D2667D">
              <w:rPr>
                <w:rFonts w:ascii="Times New Roman" w:hAnsi="Times New Roman"/>
              </w:rPr>
              <w:t>Krajo</w:t>
            </w:r>
            <w:r w:rsidR="00C8288B">
              <w:rPr>
                <w:rFonts w:ascii="Times New Roman" w:hAnsi="Times New Roman"/>
              </w:rPr>
              <w:t>wego</w:t>
            </w:r>
            <w:r w:rsidRPr="00D2667D">
              <w:rPr>
                <w:rFonts w:ascii="Times New Roman" w:hAnsi="Times New Roman"/>
              </w:rPr>
              <w:t xml:space="preserve"> Plan</w:t>
            </w:r>
            <w:r w:rsidR="00C8288B">
              <w:rPr>
                <w:rFonts w:ascii="Times New Roman" w:hAnsi="Times New Roman"/>
              </w:rPr>
              <w:t>u</w:t>
            </w:r>
            <w:r w:rsidRPr="00D2667D">
              <w:rPr>
                <w:rFonts w:ascii="Times New Roman" w:hAnsi="Times New Roman"/>
              </w:rPr>
              <w:t xml:space="preserve"> na rzecz Energii i Klimatu</w:t>
            </w:r>
            <w:r w:rsidR="00C8288B" w:rsidRPr="00C8288B">
              <w:rPr>
                <w:rFonts w:ascii="Times New Roman" w:hAnsi="Times New Roman"/>
              </w:rPr>
              <w:t xml:space="preserve"> oraz zintegrowanego krajowego sprawozdania z postępów w dziedzinie energii i klimatu </w:t>
            </w:r>
            <w:r w:rsidRPr="00D2667D">
              <w:rPr>
                <w:rFonts w:ascii="Times New Roman" w:hAnsi="Times New Roman"/>
              </w:rPr>
              <w:t>. Biorąc pod uwagę powyższe oraz specyfikę projektu ustawy</w:t>
            </w:r>
            <w:r>
              <w:rPr>
                <w:rFonts w:ascii="Times New Roman" w:hAnsi="Times New Roman"/>
              </w:rPr>
              <w:t>,</w:t>
            </w:r>
            <w:r w:rsidRPr="00D2667D">
              <w:rPr>
                <w:rFonts w:ascii="Times New Roman" w:hAnsi="Times New Roman"/>
              </w:rPr>
              <w:t xml:space="preserve"> w opinii </w:t>
            </w:r>
            <w:r>
              <w:rPr>
                <w:rFonts w:ascii="Times New Roman" w:hAnsi="Times New Roman"/>
              </w:rPr>
              <w:t>ministra</w:t>
            </w:r>
            <w:r w:rsidRPr="00D2667D">
              <w:rPr>
                <w:rFonts w:ascii="Times New Roman" w:hAnsi="Times New Roman"/>
              </w:rPr>
              <w:t xml:space="preserve"> właściwego do spraw </w:t>
            </w:r>
            <w:r>
              <w:rPr>
                <w:rFonts w:ascii="Times New Roman" w:hAnsi="Times New Roman"/>
              </w:rPr>
              <w:t>k</w:t>
            </w:r>
            <w:r w:rsidRPr="00D2667D">
              <w:rPr>
                <w:rFonts w:ascii="Times New Roman" w:hAnsi="Times New Roman"/>
              </w:rPr>
              <w:t>limatu nie ma potrzeby dokonywania dodatkowej ewaluacji efektów projektowanej regulacji.</w:t>
            </w:r>
          </w:p>
        </w:tc>
      </w:tr>
      <w:tr w:rsidR="008B2187" w:rsidRPr="00687093" w14:paraId="49C896DD" w14:textId="77777777" w:rsidTr="00676C8D">
        <w:trPr>
          <w:gridAfter w:val="1"/>
          <w:wAfter w:w="10" w:type="dxa"/>
          <w:trHeight w:val="142"/>
        </w:trPr>
        <w:tc>
          <w:tcPr>
            <w:tcW w:w="10937" w:type="dxa"/>
            <w:gridSpan w:val="29"/>
            <w:shd w:val="clear" w:color="auto" w:fill="99CCFF"/>
          </w:tcPr>
          <w:p w14:paraId="51BFE532" w14:textId="77777777" w:rsidR="008B2187" w:rsidRPr="00687093" w:rsidRDefault="008B2187" w:rsidP="008B2187">
            <w:pPr>
              <w:numPr>
                <w:ilvl w:val="0"/>
                <w:numId w:val="3"/>
              </w:numPr>
              <w:spacing w:line="240" w:lineRule="auto"/>
              <w:ind w:left="318" w:hanging="284"/>
              <w:jc w:val="both"/>
              <w:rPr>
                <w:rFonts w:ascii="Times New Roman" w:hAnsi="Times New Roman"/>
                <w:b/>
                <w:color w:val="000000"/>
                <w:spacing w:val="-2"/>
              </w:rPr>
            </w:pPr>
            <w:r w:rsidRPr="00687093">
              <w:rPr>
                <w:rFonts w:ascii="Times New Roman" w:hAnsi="Times New Roman"/>
                <w:b/>
                <w:color w:val="000000"/>
                <w:spacing w:val="-2"/>
              </w:rPr>
              <w:t xml:space="preserve">Załączniki </w:t>
            </w:r>
            <w:r w:rsidRPr="00687093">
              <w:rPr>
                <w:rFonts w:ascii="Times New Roman" w:hAnsi="Times New Roman"/>
                <w:b/>
                <w:spacing w:val="-2"/>
              </w:rPr>
              <w:t>(istotne dokumenty źródłowe, badania, analizy itp.</w:t>
            </w:r>
            <w:r w:rsidRPr="00687093">
              <w:rPr>
                <w:rFonts w:ascii="Times New Roman" w:hAnsi="Times New Roman"/>
                <w:b/>
                <w:color w:val="000000"/>
                <w:spacing w:val="-2"/>
              </w:rPr>
              <w:t xml:space="preserve">) </w:t>
            </w:r>
          </w:p>
        </w:tc>
      </w:tr>
      <w:tr w:rsidR="008B2187" w:rsidRPr="00687093" w14:paraId="3F0F616F" w14:textId="77777777" w:rsidTr="00676C8D">
        <w:trPr>
          <w:gridAfter w:val="1"/>
          <w:wAfter w:w="10" w:type="dxa"/>
          <w:trHeight w:val="142"/>
        </w:trPr>
        <w:tc>
          <w:tcPr>
            <w:tcW w:w="10937" w:type="dxa"/>
            <w:gridSpan w:val="29"/>
            <w:shd w:val="clear" w:color="auto" w:fill="FFFFFF"/>
          </w:tcPr>
          <w:p w14:paraId="556F041C" w14:textId="77777777" w:rsidR="004E0948" w:rsidRDefault="008B2187" w:rsidP="008B2187">
            <w:pPr>
              <w:spacing w:line="240" w:lineRule="auto"/>
              <w:jc w:val="both"/>
              <w:rPr>
                <w:rFonts w:ascii="Times New Roman" w:hAnsi="Times New Roman"/>
                <w:color w:val="000000"/>
                <w:spacing w:val="-2"/>
              </w:rPr>
            </w:pPr>
            <w:r w:rsidRPr="00CF1C83">
              <w:rPr>
                <w:rFonts w:ascii="Times New Roman" w:hAnsi="Times New Roman"/>
                <w:color w:val="000000"/>
                <w:spacing w:val="-2"/>
              </w:rPr>
              <w:t>Załącznik</w:t>
            </w:r>
            <w:r w:rsidR="004E0948">
              <w:rPr>
                <w:rFonts w:ascii="Times New Roman" w:hAnsi="Times New Roman"/>
                <w:color w:val="000000"/>
                <w:spacing w:val="-2"/>
              </w:rPr>
              <w:t>i</w:t>
            </w:r>
            <w:r w:rsidRPr="00CF1C83">
              <w:rPr>
                <w:rFonts w:ascii="Times New Roman" w:hAnsi="Times New Roman"/>
                <w:color w:val="000000"/>
                <w:spacing w:val="-2"/>
              </w:rPr>
              <w:t xml:space="preserve"> do OSR:</w:t>
            </w:r>
          </w:p>
          <w:p w14:paraId="531826FE" w14:textId="76249060" w:rsidR="004E0948" w:rsidRDefault="004E0948" w:rsidP="008B2187">
            <w:pPr>
              <w:spacing w:line="240" w:lineRule="auto"/>
              <w:jc w:val="both"/>
              <w:rPr>
                <w:rFonts w:ascii="Times New Roman" w:hAnsi="Times New Roman"/>
                <w:color w:val="000000"/>
                <w:spacing w:val="-2"/>
              </w:rPr>
            </w:pPr>
            <w:r>
              <w:rPr>
                <w:rFonts w:ascii="Times New Roman" w:hAnsi="Times New Roman"/>
                <w:color w:val="000000"/>
                <w:spacing w:val="-2"/>
              </w:rPr>
              <w:t xml:space="preserve">1. </w:t>
            </w:r>
            <w:r w:rsidR="00BE73E8" w:rsidRPr="00BE73E8">
              <w:rPr>
                <w:rFonts w:ascii="Times New Roman" w:hAnsi="Times New Roman"/>
                <w:color w:val="000000"/>
                <w:spacing w:val="-2"/>
              </w:rPr>
              <w:t>Korzyści płynące z rozwoju sektora biogazu/</w:t>
            </w:r>
            <w:proofErr w:type="spellStart"/>
            <w:r w:rsidR="00BE73E8" w:rsidRPr="00BE73E8">
              <w:rPr>
                <w:rFonts w:ascii="Times New Roman" w:hAnsi="Times New Roman"/>
                <w:color w:val="000000"/>
                <w:spacing w:val="-2"/>
              </w:rPr>
              <w:t>biometanu</w:t>
            </w:r>
            <w:proofErr w:type="spellEnd"/>
            <w:r w:rsidR="0096487A">
              <w:rPr>
                <w:rFonts w:ascii="Times New Roman" w:hAnsi="Times New Roman"/>
                <w:color w:val="000000"/>
                <w:spacing w:val="-2"/>
              </w:rPr>
              <w:t>.</w:t>
            </w:r>
          </w:p>
          <w:p w14:paraId="6DC42B99" w14:textId="5C0396D0" w:rsidR="00BE73E8" w:rsidRDefault="00BE73E8" w:rsidP="008B2187">
            <w:pPr>
              <w:spacing w:line="240" w:lineRule="auto"/>
              <w:jc w:val="both"/>
              <w:rPr>
                <w:rFonts w:ascii="Times New Roman" w:hAnsi="Times New Roman"/>
                <w:color w:val="000000"/>
                <w:spacing w:val="-2"/>
              </w:rPr>
            </w:pPr>
            <w:r>
              <w:rPr>
                <w:rFonts w:ascii="Times New Roman" w:hAnsi="Times New Roman"/>
                <w:color w:val="000000"/>
                <w:spacing w:val="-2"/>
              </w:rPr>
              <w:t xml:space="preserve">2. Założenia systemu modernizacji i wsparcia </w:t>
            </w:r>
            <w:r w:rsidR="00012E65">
              <w:rPr>
                <w:rFonts w:ascii="Times New Roman" w:hAnsi="Times New Roman"/>
                <w:color w:val="000000"/>
                <w:spacing w:val="-2"/>
              </w:rPr>
              <w:t>operacyjnego</w:t>
            </w:r>
            <w:r w:rsidR="0096487A">
              <w:rPr>
                <w:rFonts w:ascii="Times New Roman" w:hAnsi="Times New Roman"/>
                <w:color w:val="000000"/>
                <w:spacing w:val="-2"/>
              </w:rPr>
              <w:t>.</w:t>
            </w:r>
          </w:p>
          <w:p w14:paraId="48606F33" w14:textId="1A79F34D" w:rsidR="004455D8" w:rsidRDefault="00BE73E8" w:rsidP="00282CF3">
            <w:pPr>
              <w:spacing w:line="240" w:lineRule="auto"/>
              <w:jc w:val="both"/>
              <w:rPr>
                <w:rFonts w:ascii="Times New Roman" w:hAnsi="Times New Roman"/>
                <w:color w:val="000000"/>
                <w:spacing w:val="-2"/>
              </w:rPr>
            </w:pPr>
            <w:r>
              <w:rPr>
                <w:rFonts w:ascii="Times New Roman" w:hAnsi="Times New Roman"/>
                <w:color w:val="000000"/>
                <w:spacing w:val="-2"/>
              </w:rPr>
              <w:t xml:space="preserve">3. </w:t>
            </w:r>
            <w:r w:rsidR="00282CF3" w:rsidRPr="00282CF3">
              <w:rPr>
                <w:rFonts w:ascii="Times New Roman" w:hAnsi="Times New Roman"/>
                <w:color w:val="000000"/>
                <w:spacing w:val="-2"/>
              </w:rPr>
              <w:t xml:space="preserve">Moc zainstalowana instalacji odnawialnego źródła energii, które wejdą do systemu modernizacyjnego lub </w:t>
            </w:r>
            <w:r w:rsidR="00012E65">
              <w:rPr>
                <w:rFonts w:ascii="Times New Roman" w:hAnsi="Times New Roman"/>
                <w:color w:val="000000"/>
                <w:spacing w:val="-2"/>
              </w:rPr>
              <w:t>operacyjnego</w:t>
            </w:r>
            <w:r w:rsidR="00282CF3" w:rsidRPr="00282CF3">
              <w:rPr>
                <w:rFonts w:ascii="Times New Roman" w:hAnsi="Times New Roman"/>
                <w:color w:val="000000"/>
                <w:spacing w:val="-2"/>
              </w:rPr>
              <w:t xml:space="preserve"> w perspektywie do 2030 roku (wg. technologii)</w:t>
            </w:r>
            <w:r w:rsidR="0096487A">
              <w:rPr>
                <w:rFonts w:ascii="Times New Roman" w:hAnsi="Times New Roman"/>
                <w:color w:val="000000"/>
                <w:spacing w:val="-2"/>
              </w:rPr>
              <w:t>.</w:t>
            </w:r>
          </w:p>
          <w:p w14:paraId="25F7C137" w14:textId="77777777" w:rsidR="004455D8" w:rsidRDefault="00282CF3" w:rsidP="00BF0F4C">
            <w:pPr>
              <w:spacing w:line="240" w:lineRule="auto"/>
              <w:jc w:val="both"/>
              <w:rPr>
                <w:rFonts w:ascii="Times New Roman" w:hAnsi="Times New Roman"/>
                <w:color w:val="000000"/>
                <w:spacing w:val="-2"/>
              </w:rPr>
            </w:pPr>
            <w:r>
              <w:rPr>
                <w:rFonts w:ascii="Times New Roman" w:hAnsi="Times New Roman"/>
                <w:color w:val="000000"/>
                <w:spacing w:val="-2"/>
              </w:rPr>
              <w:t xml:space="preserve">4. </w:t>
            </w:r>
            <w:r w:rsidRPr="00282CF3">
              <w:rPr>
                <w:rFonts w:ascii="Times New Roman" w:hAnsi="Times New Roman"/>
                <w:color w:val="000000"/>
                <w:spacing w:val="-2"/>
              </w:rPr>
              <w:t>Wpływ na sektor energetyczny – wprowadzenie instrumentów wsparcia dla członków klastra energii</w:t>
            </w:r>
            <w:r w:rsidR="00245A3F">
              <w:rPr>
                <w:rFonts w:ascii="Times New Roman" w:hAnsi="Times New Roman"/>
                <w:color w:val="000000"/>
                <w:spacing w:val="-2"/>
              </w:rPr>
              <w:t>.</w:t>
            </w:r>
          </w:p>
          <w:p w14:paraId="2F50851C" w14:textId="777876D0" w:rsidR="004455D8" w:rsidRPr="00687093" w:rsidRDefault="004455D8" w:rsidP="005C087E">
            <w:pPr>
              <w:spacing w:after="120" w:line="240" w:lineRule="auto"/>
              <w:jc w:val="both"/>
              <w:rPr>
                <w:rFonts w:ascii="Times New Roman" w:hAnsi="Times New Roman"/>
                <w:color w:val="000000"/>
                <w:spacing w:val="-2"/>
              </w:rPr>
            </w:pPr>
            <w:r>
              <w:rPr>
                <w:rFonts w:ascii="Times New Roman" w:hAnsi="Times New Roman"/>
                <w:color w:val="000000"/>
                <w:spacing w:val="-2"/>
              </w:rPr>
              <w:t xml:space="preserve">5. </w:t>
            </w:r>
            <w:r w:rsidRPr="00BF0F4C">
              <w:rPr>
                <w:rFonts w:ascii="Times New Roman" w:hAnsi="Times New Roman"/>
                <w:color w:val="000000"/>
                <w:spacing w:val="-2"/>
              </w:rPr>
              <w:t xml:space="preserve">Wpływ wprowadzenia minimalnego zwrotu z kapitału dla inwestycji w źródła ciepła będące odnawialnymi źródłami energii oraz źródłami ciepła odpadowego na środowisko i budżet odbiorców oraz konwersja systemów ciepłowniczych </w:t>
            </w:r>
            <w:r>
              <w:rPr>
                <w:rFonts w:ascii="Times New Roman" w:hAnsi="Times New Roman"/>
                <w:color w:val="000000"/>
                <w:spacing w:val="-2"/>
              </w:rPr>
              <w:br/>
            </w:r>
            <w:r w:rsidRPr="00BF0F4C">
              <w:rPr>
                <w:rFonts w:ascii="Times New Roman" w:hAnsi="Times New Roman"/>
                <w:color w:val="000000"/>
                <w:spacing w:val="-2"/>
              </w:rPr>
              <w:t>w efektywne energetycznie systemy ciepłownicze.</w:t>
            </w:r>
          </w:p>
        </w:tc>
      </w:tr>
    </w:tbl>
    <w:p w14:paraId="4C19A622" w14:textId="693CCBBD" w:rsidR="00050785" w:rsidRDefault="00050785">
      <w:pPr>
        <w:spacing w:line="240" w:lineRule="auto"/>
        <w:jc w:val="both"/>
        <w:rPr>
          <w:rFonts w:ascii="Times New Roman" w:hAnsi="Times New Roman"/>
        </w:rPr>
      </w:pPr>
    </w:p>
    <w:p w14:paraId="5C60F40A" w14:textId="77777777" w:rsidR="00050785" w:rsidRDefault="00050785">
      <w:pPr>
        <w:spacing w:line="240" w:lineRule="auto"/>
        <w:rPr>
          <w:rFonts w:ascii="Times New Roman" w:hAnsi="Times New Roman"/>
        </w:rPr>
      </w:pPr>
      <w:r>
        <w:rPr>
          <w:rFonts w:ascii="Times New Roman" w:hAnsi="Times New Roman"/>
        </w:rPr>
        <w:br w:type="page"/>
      </w:r>
    </w:p>
    <w:p w14:paraId="235F56AE" w14:textId="6F99A69F" w:rsidR="001C24CF" w:rsidRPr="004B458B" w:rsidRDefault="00050785" w:rsidP="00B625F1">
      <w:pPr>
        <w:tabs>
          <w:tab w:val="left" w:pos="1032"/>
        </w:tabs>
        <w:spacing w:line="240" w:lineRule="auto"/>
        <w:rPr>
          <w:rFonts w:ascii="Times New Roman" w:hAnsi="Times New Roman"/>
          <w:b/>
          <w:bCs/>
        </w:rPr>
      </w:pPr>
      <w:r w:rsidRPr="004B458B">
        <w:rPr>
          <w:rFonts w:ascii="Times New Roman" w:hAnsi="Times New Roman"/>
          <w:b/>
          <w:bCs/>
        </w:rPr>
        <w:lastRenderedPageBreak/>
        <w:t>Załącznik nr 1</w:t>
      </w:r>
      <w:r w:rsidR="00B625F1" w:rsidRPr="004B458B">
        <w:rPr>
          <w:rFonts w:ascii="Times New Roman" w:hAnsi="Times New Roman"/>
          <w:b/>
          <w:bCs/>
        </w:rPr>
        <w:t xml:space="preserve"> – </w:t>
      </w:r>
      <w:r w:rsidR="001C24CF" w:rsidRPr="004B458B">
        <w:rPr>
          <w:rFonts w:ascii="Times New Roman" w:hAnsi="Times New Roman"/>
          <w:b/>
          <w:bCs/>
        </w:rPr>
        <w:t>Korzyści płynące z rozwoju sektora biogazu/</w:t>
      </w:r>
      <w:proofErr w:type="spellStart"/>
      <w:r w:rsidR="001C24CF" w:rsidRPr="004B458B">
        <w:rPr>
          <w:rFonts w:ascii="Times New Roman" w:hAnsi="Times New Roman"/>
          <w:b/>
          <w:bCs/>
        </w:rPr>
        <w:t>biometanu</w:t>
      </w:r>
      <w:proofErr w:type="spellEnd"/>
    </w:p>
    <w:p w14:paraId="749A0B55" w14:textId="77777777" w:rsidR="00B625F1" w:rsidRPr="004B458B" w:rsidRDefault="00B625F1" w:rsidP="00B625F1">
      <w:pPr>
        <w:tabs>
          <w:tab w:val="left" w:pos="1032"/>
        </w:tabs>
        <w:spacing w:line="240" w:lineRule="auto"/>
        <w:rPr>
          <w:rFonts w:ascii="Times New Roman" w:hAnsi="Times New Roman"/>
          <w:b/>
          <w:bCs/>
          <w:u w:val="single"/>
        </w:rPr>
      </w:pPr>
    </w:p>
    <w:p w14:paraId="1B8D0716"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Cs/>
        </w:rPr>
      </w:pPr>
      <w:r w:rsidRPr="004B458B">
        <w:rPr>
          <w:rFonts w:ascii="Times New Roman" w:hAnsi="Times New Roman"/>
          <w:b/>
          <w:bCs/>
        </w:rPr>
        <w:t>Poprawa w zakresie bezpieczeństwa energetycznego Państwa, zmniejszenie uzależnienia od importu surowców energetycznych</w:t>
      </w:r>
    </w:p>
    <w:p w14:paraId="0C55A179" w14:textId="78B21920" w:rsidR="001C24CF" w:rsidRPr="004B458B" w:rsidRDefault="001C24CF" w:rsidP="001C24CF">
      <w:pPr>
        <w:spacing w:after="80"/>
        <w:ind w:left="567"/>
        <w:jc w:val="both"/>
        <w:rPr>
          <w:rFonts w:ascii="Times New Roman" w:hAnsi="Times New Roman"/>
          <w:bCs/>
        </w:rPr>
      </w:pPr>
      <w:r w:rsidRPr="004B458B">
        <w:rPr>
          <w:rFonts w:ascii="Times New Roman" w:hAnsi="Times New Roman"/>
          <w:bCs/>
        </w:rPr>
        <w:t xml:space="preserve">Malejąca produkcja energii pierwotnej ze szczególnym uwzględnieniem ropy naftowej i gazu zimnego na przestrzeni ostatnich lat powoduje, że w krajach UE28 następuje wzrastające uzależnienie od importu nośników energii pierwotnej. Poziom uzależnienia mierzony tzw. </w:t>
      </w:r>
      <w:r w:rsidRPr="004B458B">
        <w:rPr>
          <w:rFonts w:ascii="Times New Roman" w:hAnsi="Times New Roman"/>
          <w:b/>
          <w:bCs/>
          <w:i/>
        </w:rPr>
        <w:t>wskaźnikiem zależności energetycznej</w:t>
      </w:r>
      <w:r w:rsidRPr="004B458B">
        <w:rPr>
          <w:rFonts w:ascii="Times New Roman" w:hAnsi="Times New Roman"/>
          <w:bCs/>
          <w:i/>
        </w:rPr>
        <w:t xml:space="preserve"> </w:t>
      </w:r>
      <w:r w:rsidRPr="004B458B">
        <w:rPr>
          <w:rFonts w:ascii="Times New Roman" w:hAnsi="Times New Roman"/>
          <w:bCs/>
        </w:rPr>
        <w:t>pokazuje, że</w:t>
      </w:r>
      <w:r w:rsidRPr="004B458B">
        <w:rPr>
          <w:rFonts w:ascii="Times New Roman" w:hAnsi="Times New Roman"/>
          <w:bCs/>
          <w:i/>
        </w:rPr>
        <w:t xml:space="preserve"> </w:t>
      </w:r>
      <w:r w:rsidRPr="004B458B">
        <w:rPr>
          <w:rFonts w:ascii="Times New Roman" w:hAnsi="Times New Roman"/>
          <w:bCs/>
        </w:rPr>
        <w:t>gaz ziemny jest drugim (po ropie naftowej) nośnikiem energii o najwyższym stopniu uzależnienia (w 2018 r. wynosił on 83,2%). Co szczególnie istotne, poziom tego wskaźnika dynamicznie wzrasta w ostatnich latach, co pokazuje poniższy wykres.</w:t>
      </w:r>
      <w:r w:rsidR="004C0172">
        <w:rPr>
          <w:rFonts w:ascii="Times New Roman" w:hAnsi="Times New Roman"/>
          <w:bCs/>
        </w:rPr>
        <w:t xml:space="preserve"> </w:t>
      </w:r>
    </w:p>
    <w:p w14:paraId="4C206790" w14:textId="77777777" w:rsidR="001C24CF" w:rsidRPr="004B458B" w:rsidRDefault="001C24CF" w:rsidP="001C24CF">
      <w:pPr>
        <w:spacing w:after="80"/>
        <w:ind w:left="567"/>
        <w:jc w:val="center"/>
        <w:rPr>
          <w:rFonts w:ascii="Times New Roman" w:hAnsi="Times New Roman"/>
          <w:bCs/>
        </w:rPr>
      </w:pPr>
      <w:r w:rsidRPr="004B458B">
        <w:rPr>
          <w:rFonts w:ascii="Times New Roman" w:hAnsi="Times New Roman"/>
          <w:noProof/>
          <w:lang w:eastAsia="pl-PL"/>
        </w:rPr>
        <w:drawing>
          <wp:inline distT="0" distB="0" distL="0" distR="0" wp14:anchorId="1A56518E" wp14:editId="7C8371F3">
            <wp:extent cx="4451985" cy="3011766"/>
            <wp:effectExtent l="0" t="0" r="5715" b="0"/>
            <wp:docPr id="1" name="Obraz 1" descr="https://ec.europa.eu/eurostat/statistics-explained/images/6/64/Energy_dependency_rate%2C_EU-27%2C_2008-2018_%28%25_of_net_imports_in_gross_available_energy%2C_based_on_tonnes_of_oil_equivalen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6/64/Energy_dependency_rate%2C_EU-27%2C_2008-2018_%28%25_of_net_imports_in_gross_available_energy%2C_based_on_tonnes_of_oil_equivalent%29.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61222" cy="3085665"/>
                    </a:xfrm>
                    <a:prstGeom prst="rect">
                      <a:avLst/>
                    </a:prstGeom>
                    <a:noFill/>
                    <a:ln>
                      <a:noFill/>
                    </a:ln>
                  </pic:spPr>
                </pic:pic>
              </a:graphicData>
            </a:graphic>
          </wp:inline>
        </w:drawing>
      </w:r>
    </w:p>
    <w:p w14:paraId="1231D987" w14:textId="77777777" w:rsidR="001C24CF" w:rsidRPr="004B458B" w:rsidRDefault="001C24CF" w:rsidP="001C24CF">
      <w:pPr>
        <w:spacing w:after="80"/>
        <w:ind w:left="567"/>
        <w:jc w:val="both"/>
        <w:rPr>
          <w:rFonts w:ascii="Times New Roman" w:hAnsi="Times New Roman"/>
          <w:bCs/>
        </w:rPr>
      </w:pPr>
    </w:p>
    <w:p w14:paraId="1D72DE32"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Wysoki poziom wskaźnika zależności energetycznej wskazuje na wzrastające uzależnienie od importu, w tym również na koszty związane z pozyskaniem błękitnego paliwa. W 2018 r. UE sprowadziła ok. 363 mld m</w:t>
      </w:r>
      <w:r w:rsidRPr="004B458B">
        <w:rPr>
          <w:rFonts w:ascii="Times New Roman" w:hAnsi="Times New Roman"/>
          <w:bCs/>
          <w:vertAlign w:val="superscript"/>
        </w:rPr>
        <w:t>3</w:t>
      </w:r>
      <w:r w:rsidRPr="004B458B">
        <w:rPr>
          <w:rFonts w:ascii="Times New Roman" w:hAnsi="Times New Roman"/>
          <w:bCs/>
        </w:rPr>
        <w:t xml:space="preserve"> gazu ziemnego kosztem ok. 90 mld EUR. Pomimo zmieniającej się w ostatnich latach struktury źródeł importu, pozycję lidera w tym zakresie nadal utrzymuje Rosja – w 2018 r. 40,4% importu gazu ziemnego do UE28 pochodziło z tego kierunku.</w:t>
      </w:r>
    </w:p>
    <w:p w14:paraId="5AC2E8F2"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Charakter uzależnienia UE28 od dostaw zewnętrznych gazu ziemnego na teren Europy przedstawia również poniższy wykres, pokazujący dwie główne przyczyny narastania tego zjawiska:</w:t>
      </w:r>
    </w:p>
    <w:p w14:paraId="026F8261" w14:textId="77777777" w:rsidR="001C24CF" w:rsidRPr="004B458B" w:rsidRDefault="001C24CF" w:rsidP="001C24CF">
      <w:pPr>
        <w:pStyle w:val="Akapitzlist"/>
        <w:numPr>
          <w:ilvl w:val="0"/>
          <w:numId w:val="166"/>
        </w:numPr>
        <w:spacing w:after="80" w:line="259" w:lineRule="auto"/>
        <w:jc w:val="both"/>
        <w:rPr>
          <w:rFonts w:ascii="Times New Roman" w:hAnsi="Times New Roman"/>
          <w:bCs/>
        </w:rPr>
      </w:pPr>
      <w:r w:rsidRPr="004B458B">
        <w:rPr>
          <w:rFonts w:ascii="Times New Roman" w:hAnsi="Times New Roman"/>
          <w:bCs/>
        </w:rPr>
        <w:t>stopniowy wzrost zapotrzebowania na gaz ziemny, widoczny od 2014 r.</w:t>
      </w:r>
    </w:p>
    <w:p w14:paraId="0AE97D63" w14:textId="77777777" w:rsidR="001C24CF" w:rsidRPr="004B458B" w:rsidRDefault="001C24CF" w:rsidP="001C24CF">
      <w:pPr>
        <w:pStyle w:val="Akapitzlist"/>
        <w:numPr>
          <w:ilvl w:val="0"/>
          <w:numId w:val="166"/>
        </w:numPr>
        <w:spacing w:after="80" w:line="259" w:lineRule="auto"/>
        <w:jc w:val="both"/>
        <w:rPr>
          <w:rFonts w:ascii="Times New Roman" w:hAnsi="Times New Roman"/>
          <w:bCs/>
        </w:rPr>
      </w:pPr>
      <w:r w:rsidRPr="004B458B">
        <w:rPr>
          <w:rFonts w:ascii="Times New Roman" w:hAnsi="Times New Roman"/>
          <w:bCs/>
        </w:rPr>
        <w:t>postępujące zmniejszanie się produkcji gazu ziemnego w UE, przy czym to zjawisko ma charakter stały i na przestrzeni ostatnich lat (2010-2018) produkcja gazu ziemnego w UE28 zmniejszyła się o ok. 41%.</w:t>
      </w:r>
    </w:p>
    <w:p w14:paraId="3A7BF0A5" w14:textId="77777777" w:rsidR="001C24CF" w:rsidRPr="004B458B" w:rsidRDefault="001C24CF" w:rsidP="001C24CF">
      <w:pPr>
        <w:spacing w:after="80"/>
        <w:ind w:left="567"/>
        <w:jc w:val="center"/>
        <w:rPr>
          <w:rFonts w:ascii="Times New Roman" w:hAnsi="Times New Roman"/>
          <w:bCs/>
          <w:i/>
        </w:rPr>
      </w:pPr>
      <w:r w:rsidRPr="004B458B">
        <w:rPr>
          <w:rFonts w:ascii="Times New Roman" w:hAnsi="Times New Roman"/>
          <w:noProof/>
          <w:lang w:eastAsia="pl-PL"/>
        </w:rPr>
        <w:drawing>
          <wp:inline distT="0" distB="0" distL="0" distR="0" wp14:anchorId="59B76E69" wp14:editId="6D13AB27">
            <wp:extent cx="4526712" cy="2321781"/>
            <wp:effectExtent l="0" t="0" r="7620" b="254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23"/>
                    <a:stretch>
                      <a:fillRect/>
                    </a:stretch>
                  </pic:blipFill>
                  <pic:spPr>
                    <a:xfrm>
                      <a:off x="0" y="0"/>
                      <a:ext cx="4621853" cy="2370579"/>
                    </a:xfrm>
                    <a:prstGeom prst="rect">
                      <a:avLst/>
                    </a:prstGeom>
                  </pic:spPr>
                </pic:pic>
              </a:graphicData>
            </a:graphic>
          </wp:inline>
        </w:drawing>
      </w:r>
    </w:p>
    <w:p w14:paraId="3FCBC4D2" w14:textId="77777777" w:rsidR="001C24CF" w:rsidRPr="004B458B" w:rsidRDefault="001C24CF" w:rsidP="001C24CF">
      <w:pPr>
        <w:spacing w:after="80"/>
        <w:ind w:left="567"/>
        <w:jc w:val="both"/>
        <w:rPr>
          <w:rFonts w:ascii="Times New Roman" w:hAnsi="Times New Roman"/>
          <w:bCs/>
        </w:rPr>
      </w:pPr>
    </w:p>
    <w:p w14:paraId="074A8382" w14:textId="637AE95E" w:rsidR="001C24CF" w:rsidRPr="004B458B" w:rsidRDefault="001C24CF" w:rsidP="001C24CF">
      <w:pPr>
        <w:spacing w:after="80"/>
        <w:ind w:left="567"/>
        <w:jc w:val="both"/>
        <w:rPr>
          <w:rFonts w:ascii="Times New Roman" w:hAnsi="Times New Roman"/>
          <w:bCs/>
        </w:rPr>
      </w:pPr>
      <w:r w:rsidRPr="004B458B">
        <w:rPr>
          <w:rFonts w:ascii="Times New Roman" w:hAnsi="Times New Roman"/>
          <w:bCs/>
        </w:rPr>
        <w:lastRenderedPageBreak/>
        <w:t>Uzależnienie gospodarki od dostaw zewnętrznych gazu ziemnego jest szczególnie widoczne na przykładzie Polski. Pomimo utrzymującego się od lat stosunkowo stabilnego poziomu produkcji gazu ziemnego w kraju, dynamicznie wzrasta (obserwowana szczególnie w ostatnich latach) konsumpcja tego paliwa. W efekcie</w:t>
      </w:r>
      <w:r w:rsidR="00245A3F">
        <w:rPr>
          <w:rFonts w:ascii="Times New Roman" w:hAnsi="Times New Roman"/>
          <w:bCs/>
        </w:rPr>
        <w:t>,</w:t>
      </w:r>
      <w:r w:rsidRPr="004B458B">
        <w:rPr>
          <w:rFonts w:ascii="Times New Roman" w:hAnsi="Times New Roman"/>
          <w:bCs/>
        </w:rPr>
        <w:t xml:space="preserve"> aktualnie krajowe </w:t>
      </w:r>
      <w:r w:rsidRPr="004B458B">
        <w:rPr>
          <w:rFonts w:ascii="Times New Roman" w:hAnsi="Times New Roman"/>
        </w:rPr>
        <w:t>wydobycie gazu ziemnego na poziomie ok. 4 mld m</w:t>
      </w:r>
      <w:r w:rsidRPr="004B458B">
        <w:rPr>
          <w:rFonts w:ascii="Times New Roman" w:hAnsi="Times New Roman"/>
          <w:vertAlign w:val="superscript"/>
        </w:rPr>
        <w:t xml:space="preserve">3 </w:t>
      </w:r>
      <w:r w:rsidRPr="004B458B">
        <w:rPr>
          <w:rFonts w:ascii="Times New Roman" w:hAnsi="Times New Roman"/>
        </w:rPr>
        <w:t>pokrywa zaledwie ok. 22% zapotrzebowania na to paliwo</w:t>
      </w:r>
      <w:r w:rsidRPr="004B458B">
        <w:rPr>
          <w:rFonts w:ascii="Times New Roman" w:hAnsi="Times New Roman"/>
          <w:bCs/>
        </w:rPr>
        <w:t xml:space="preserve"> w związku z czym krajowa konsumpcja gazu ziemnego w niemal 80% uzależniona jest od dostaw zewnętrznych.</w:t>
      </w:r>
      <w:r w:rsidR="004C0172">
        <w:rPr>
          <w:rFonts w:ascii="Times New Roman" w:hAnsi="Times New Roman"/>
          <w:bCs/>
        </w:rPr>
        <w:t xml:space="preserve"> </w:t>
      </w:r>
    </w:p>
    <w:p w14:paraId="50A3D630" w14:textId="77777777" w:rsidR="001C24CF" w:rsidRPr="004B458B" w:rsidRDefault="001C24CF" w:rsidP="001C24CF">
      <w:pPr>
        <w:spacing w:after="80"/>
        <w:ind w:left="567"/>
        <w:jc w:val="both"/>
        <w:rPr>
          <w:rFonts w:ascii="Times New Roman" w:hAnsi="Times New Roman"/>
          <w:bCs/>
        </w:rPr>
      </w:pPr>
    </w:p>
    <w:p w14:paraId="385CBF9D" w14:textId="77777777" w:rsidR="001C24CF" w:rsidRPr="004B458B" w:rsidRDefault="001C24CF" w:rsidP="001C24CF">
      <w:pPr>
        <w:spacing w:after="80"/>
        <w:ind w:left="567"/>
        <w:jc w:val="center"/>
        <w:rPr>
          <w:rFonts w:ascii="Times New Roman" w:hAnsi="Times New Roman"/>
          <w:bCs/>
          <w:i/>
        </w:rPr>
      </w:pPr>
      <w:r w:rsidRPr="004B458B">
        <w:rPr>
          <w:rFonts w:ascii="Times New Roman" w:hAnsi="Times New Roman"/>
          <w:noProof/>
          <w:lang w:eastAsia="pl-PL"/>
        </w:rPr>
        <w:drawing>
          <wp:inline distT="0" distB="0" distL="0" distR="0" wp14:anchorId="2699DE6C" wp14:editId="77F69465">
            <wp:extent cx="4529201" cy="2289975"/>
            <wp:effectExtent l="0" t="0" r="5080" b="0"/>
            <wp:docPr id="1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pic:cNvPicPr>
                      <a:picLocks noChangeAspect="1"/>
                    </pic:cNvPicPr>
                  </pic:nvPicPr>
                  <pic:blipFill>
                    <a:blip r:embed="rId24"/>
                    <a:stretch>
                      <a:fillRect/>
                    </a:stretch>
                  </pic:blipFill>
                  <pic:spPr>
                    <a:xfrm>
                      <a:off x="0" y="0"/>
                      <a:ext cx="4680068" cy="2366254"/>
                    </a:xfrm>
                    <a:prstGeom prst="rect">
                      <a:avLst/>
                    </a:prstGeom>
                  </pic:spPr>
                </pic:pic>
              </a:graphicData>
            </a:graphic>
          </wp:inline>
        </w:drawing>
      </w:r>
    </w:p>
    <w:p w14:paraId="592FAB26" w14:textId="77777777" w:rsidR="001C24CF" w:rsidRPr="004B458B" w:rsidRDefault="001C24CF" w:rsidP="001C24CF">
      <w:pPr>
        <w:spacing w:after="80"/>
        <w:ind w:left="567"/>
        <w:jc w:val="both"/>
        <w:rPr>
          <w:rFonts w:ascii="Times New Roman" w:hAnsi="Times New Roman"/>
          <w:bCs/>
        </w:rPr>
      </w:pPr>
    </w:p>
    <w:p w14:paraId="14C5A4BA"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Wskazana na powyższym wykresie linia trendu znajduje potwierdzenie w dokumentach rządowych. </w:t>
      </w:r>
      <w:r w:rsidRPr="004B458B">
        <w:rPr>
          <w:rFonts w:ascii="Times New Roman" w:hAnsi="Times New Roman"/>
        </w:rPr>
        <w:t xml:space="preserve">Biorąc pod uwagę planowaną w Krajowym Planie na rzecz energii i klimatu na lata 2021-2030 konsumpcję gazu ziemnego w kraju (15 937 </w:t>
      </w:r>
      <w:proofErr w:type="spellStart"/>
      <w:r w:rsidRPr="004B458B">
        <w:rPr>
          <w:rFonts w:ascii="Times New Roman" w:hAnsi="Times New Roman"/>
        </w:rPr>
        <w:t>ktoe</w:t>
      </w:r>
      <w:proofErr w:type="spellEnd"/>
      <w:r w:rsidRPr="004B458B">
        <w:rPr>
          <w:rFonts w:ascii="Times New Roman" w:hAnsi="Times New Roman"/>
        </w:rPr>
        <w:t xml:space="preserve">), planowane zdolności produkcyjne w zakresie </w:t>
      </w:r>
      <w:proofErr w:type="spellStart"/>
      <w:r w:rsidRPr="004B458B">
        <w:rPr>
          <w:rFonts w:ascii="Times New Roman" w:hAnsi="Times New Roman"/>
        </w:rPr>
        <w:t>biometanu</w:t>
      </w:r>
      <w:proofErr w:type="spellEnd"/>
      <w:r w:rsidRPr="004B458B">
        <w:rPr>
          <w:rFonts w:ascii="Times New Roman" w:hAnsi="Times New Roman"/>
        </w:rPr>
        <w:t xml:space="preserve"> pozwolą na pokrycie zaledwie ok. 6,0 % udziału w ogólnej konsumpcji gazu ziemnego w kraju.</w:t>
      </w:r>
    </w:p>
    <w:p w14:paraId="08CCB8F5" w14:textId="7E65C12A" w:rsidR="001C24CF" w:rsidRPr="004B458B" w:rsidRDefault="001C24CF" w:rsidP="00B625F1">
      <w:pPr>
        <w:spacing w:before="120" w:after="120"/>
        <w:ind w:left="567"/>
        <w:jc w:val="both"/>
        <w:rPr>
          <w:rFonts w:ascii="Times New Roman" w:hAnsi="Times New Roman"/>
        </w:rPr>
      </w:pPr>
      <w:r w:rsidRPr="004B458B">
        <w:rPr>
          <w:rFonts w:ascii="Times New Roman" w:hAnsi="Times New Roman"/>
        </w:rPr>
        <w:t xml:space="preserve">Rozwiązaniem zapewniającym zwiększenie stabilności systemu energetycznego jest doprowadzenie do dynamicznego wzrostu wykorzystania biogazu (w tym </w:t>
      </w:r>
      <w:proofErr w:type="spellStart"/>
      <w:r w:rsidRPr="004B458B">
        <w:rPr>
          <w:rFonts w:ascii="Times New Roman" w:hAnsi="Times New Roman"/>
        </w:rPr>
        <w:t>biometanu</w:t>
      </w:r>
      <w:proofErr w:type="spellEnd"/>
      <w:r w:rsidRPr="004B458B">
        <w:rPr>
          <w:rFonts w:ascii="Times New Roman" w:hAnsi="Times New Roman"/>
        </w:rPr>
        <w:t>) w konsumpcji krajowej gazu ziemnego. Biorąc pod uwagę krajowy potencjał surowca – jest możliwe w przyszłości wygenerowanie ilości zielonego paliwa gazowego na porównywalnym poziomie ze zdolnościami produkcyjnymi gazu ziemnego w kraju.</w:t>
      </w:r>
    </w:p>
    <w:p w14:paraId="30E04BFF" w14:textId="77777777" w:rsidR="001C24CF" w:rsidRPr="004B458B" w:rsidRDefault="001C24CF" w:rsidP="001C24CF">
      <w:pPr>
        <w:pStyle w:val="Akapitzlist"/>
        <w:numPr>
          <w:ilvl w:val="0"/>
          <w:numId w:val="165"/>
        </w:numPr>
        <w:spacing w:before="120" w:after="120" w:line="259" w:lineRule="auto"/>
        <w:ind w:left="567"/>
        <w:contextualSpacing w:val="0"/>
        <w:rPr>
          <w:rFonts w:ascii="Times New Roman" w:hAnsi="Times New Roman"/>
          <w:b/>
        </w:rPr>
      </w:pPr>
      <w:r w:rsidRPr="004B458B">
        <w:rPr>
          <w:rFonts w:ascii="Times New Roman" w:hAnsi="Times New Roman"/>
          <w:b/>
        </w:rPr>
        <w:t>Wzrost konkurencyjności krajowego rolnictwa</w:t>
      </w:r>
    </w:p>
    <w:p w14:paraId="27D049EF" w14:textId="7D57A804"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Upowszechnienie rozwoju biogazowni na terenach wiejskich doprowadzi do większej samowystarczalności branży rolniczej i jej innowacyjności, umożliwiając prowadzenie produkcji rolnej w sposób zrównoważony z większym poszanowaniem środowiska naturalnego.</w:t>
      </w:r>
      <w:r w:rsidR="004C0172">
        <w:rPr>
          <w:rFonts w:ascii="Times New Roman" w:hAnsi="Times New Roman"/>
          <w:bCs/>
        </w:rPr>
        <w:t xml:space="preserve"> </w:t>
      </w:r>
    </w:p>
    <w:p w14:paraId="7CB1168F"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Zwiększenie wykorzystania biogazu rolniczego, wytwarzanego na potrzeby produkcji </w:t>
      </w:r>
      <w:proofErr w:type="spellStart"/>
      <w:r w:rsidRPr="004B458B">
        <w:rPr>
          <w:rFonts w:ascii="Times New Roman" w:hAnsi="Times New Roman"/>
          <w:bCs/>
        </w:rPr>
        <w:t>biometanu</w:t>
      </w:r>
      <w:proofErr w:type="spellEnd"/>
      <w:r w:rsidRPr="004B458B">
        <w:rPr>
          <w:rFonts w:ascii="Times New Roman" w:hAnsi="Times New Roman"/>
          <w:bCs/>
        </w:rPr>
        <w:t>, wykorzystującego produkty uboczne rolnictwa, płynne i stałe odchody zwierzęce oraz pozostałości przemysłu rolno-spożywczego przyczyni się do wzrostu dochodów rolników przez wykorzystanie niezagospodarowanych dotychczas potencjalnych pozostałości energetycznych oraz pozwoli na zachowanie podstawowej funkcji krajowego rolnictwa jaką jest produkcja żywności.</w:t>
      </w:r>
    </w:p>
    <w:p w14:paraId="30BB69C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Rozwój sektora biogazu rolniczego (w tym </w:t>
      </w:r>
      <w:proofErr w:type="spellStart"/>
      <w:r w:rsidRPr="004B458B">
        <w:rPr>
          <w:rFonts w:ascii="Times New Roman" w:hAnsi="Times New Roman"/>
          <w:bCs/>
        </w:rPr>
        <w:t>biometanu</w:t>
      </w:r>
      <w:proofErr w:type="spellEnd"/>
      <w:r w:rsidRPr="004B458B">
        <w:rPr>
          <w:rFonts w:ascii="Times New Roman" w:hAnsi="Times New Roman"/>
          <w:bCs/>
        </w:rPr>
        <w:t xml:space="preserve">) umożliwi </w:t>
      </w:r>
      <w:r w:rsidRPr="004B458B">
        <w:rPr>
          <w:rFonts w:ascii="Times New Roman" w:hAnsi="Times New Roman"/>
        </w:rPr>
        <w:t>pozyskanie znacznych ilości wysokiej jakości przyjaznych dla środowiska nawozów organicznych w formie pozostałości pofermentacyjnych substratu pochodzenia rolniczego oraz w formie granulatu. Należy mieć na uwadze, że biogazownia rolnicza o zdolności produkcyjnej ok. 500 m</w:t>
      </w:r>
      <w:r w:rsidRPr="004B458B">
        <w:rPr>
          <w:rFonts w:ascii="Times New Roman" w:hAnsi="Times New Roman"/>
          <w:vertAlign w:val="superscript"/>
        </w:rPr>
        <w:t>3</w:t>
      </w:r>
      <w:r w:rsidRPr="004B458B">
        <w:rPr>
          <w:rFonts w:ascii="Times New Roman" w:hAnsi="Times New Roman"/>
        </w:rPr>
        <w:t xml:space="preserve">/h wytwarza równocześnie ilość </w:t>
      </w:r>
      <w:proofErr w:type="spellStart"/>
      <w:r w:rsidRPr="004B458B">
        <w:rPr>
          <w:rFonts w:ascii="Times New Roman" w:hAnsi="Times New Roman"/>
        </w:rPr>
        <w:t>pofermentu</w:t>
      </w:r>
      <w:proofErr w:type="spellEnd"/>
      <w:r w:rsidRPr="004B458B">
        <w:rPr>
          <w:rFonts w:ascii="Times New Roman" w:hAnsi="Times New Roman"/>
        </w:rPr>
        <w:t>, którą można zagospodarować na ok. 1-1,2 tys. ha użytków rolnych rocznie.</w:t>
      </w:r>
    </w:p>
    <w:p w14:paraId="20D4EA0E" w14:textId="77777777" w:rsidR="001C24CF" w:rsidRPr="004B458B" w:rsidRDefault="001C24CF" w:rsidP="001C24CF">
      <w:pPr>
        <w:spacing w:after="80"/>
        <w:ind w:left="567"/>
        <w:jc w:val="both"/>
        <w:rPr>
          <w:rFonts w:ascii="Times New Roman" w:hAnsi="Times New Roman"/>
        </w:rPr>
      </w:pPr>
      <w:proofErr w:type="spellStart"/>
      <w:r w:rsidRPr="004B458B">
        <w:rPr>
          <w:rFonts w:ascii="Times New Roman" w:hAnsi="Times New Roman"/>
        </w:rPr>
        <w:t>Poferment</w:t>
      </w:r>
      <w:proofErr w:type="spellEnd"/>
      <w:r w:rsidRPr="004B458B">
        <w:rPr>
          <w:rFonts w:ascii="Times New Roman" w:hAnsi="Times New Roman"/>
        </w:rPr>
        <w:t xml:space="preserve"> jest również uznawany za bardziej wartościowy polepszacz gleby niż gnojowica z uwagi na:</w:t>
      </w:r>
    </w:p>
    <w:p w14:paraId="2323E5DE"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większy udział składników pokarmowych w formach mineralnych, które są bezpośrednio przyswajalne przez rośliny, dając lepszy efekt nawozowy,</w:t>
      </w:r>
    </w:p>
    <w:p w14:paraId="333633C4"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większą zawartość azotu amonowego, uznawanego za najlepszą formę azotu dla roślin,</w:t>
      </w:r>
    </w:p>
    <w:p w14:paraId="416CAFEF"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 xml:space="preserve">wyższe </w:t>
      </w:r>
      <w:proofErr w:type="spellStart"/>
      <w:r w:rsidRPr="004B458B">
        <w:rPr>
          <w:rFonts w:ascii="Times New Roman" w:hAnsi="Times New Roman"/>
        </w:rPr>
        <w:t>pH</w:t>
      </w:r>
      <w:proofErr w:type="spellEnd"/>
      <w:r w:rsidRPr="004B458B">
        <w:rPr>
          <w:rFonts w:ascii="Times New Roman" w:hAnsi="Times New Roman"/>
        </w:rPr>
        <w:t xml:space="preserve"> (powyżej 7,0), przez co zmniejszając poziom zakwaszenia gleby poprawia ich produktywność,</w:t>
      </w:r>
    </w:p>
    <w:p w14:paraId="01A6337A"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lastRenderedPageBreak/>
        <w:t xml:space="preserve">szybszy rozkład w glebie, </w:t>
      </w:r>
    </w:p>
    <w:p w14:paraId="60118604"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niszczenie nasion chwastów w procesie fermentacji, co ogranicza konieczność stosowania pestycydów,</w:t>
      </w:r>
    </w:p>
    <w:p w14:paraId="1B4F3839" w14:textId="77777777" w:rsidR="001C24CF" w:rsidRPr="004B458B" w:rsidRDefault="001C24CF" w:rsidP="001C24CF">
      <w:pPr>
        <w:pStyle w:val="Akapitzlist"/>
        <w:numPr>
          <w:ilvl w:val="0"/>
          <w:numId w:val="167"/>
        </w:numPr>
        <w:spacing w:after="80" w:line="259" w:lineRule="auto"/>
        <w:ind w:left="1281" w:hanging="357"/>
        <w:contextualSpacing w:val="0"/>
        <w:jc w:val="both"/>
        <w:rPr>
          <w:rFonts w:ascii="Times New Roman" w:hAnsi="Times New Roman"/>
        </w:rPr>
      </w:pPr>
      <w:r w:rsidRPr="004B458B">
        <w:rPr>
          <w:rFonts w:ascii="Times New Roman" w:hAnsi="Times New Roman"/>
        </w:rPr>
        <w:t xml:space="preserve">stosowanie </w:t>
      </w:r>
      <w:proofErr w:type="spellStart"/>
      <w:r w:rsidRPr="004B458B">
        <w:rPr>
          <w:rFonts w:ascii="Times New Roman" w:hAnsi="Times New Roman"/>
        </w:rPr>
        <w:t>pofermentu</w:t>
      </w:r>
      <w:proofErr w:type="spellEnd"/>
      <w:r w:rsidRPr="004B458B">
        <w:rPr>
          <w:rFonts w:ascii="Times New Roman" w:hAnsi="Times New Roman"/>
        </w:rPr>
        <w:t xml:space="preserve"> zwiększa zawartość materii organicznej w glebach, wpływając korzystnie na ich produktywność,</w:t>
      </w:r>
    </w:p>
    <w:p w14:paraId="492CAFCF"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Co jest również ważne, stosowanie </w:t>
      </w:r>
      <w:proofErr w:type="spellStart"/>
      <w:r w:rsidRPr="004B458B">
        <w:rPr>
          <w:rFonts w:ascii="Times New Roman" w:hAnsi="Times New Roman"/>
        </w:rPr>
        <w:t>pofermentu</w:t>
      </w:r>
      <w:proofErr w:type="spellEnd"/>
      <w:r w:rsidRPr="004B458B">
        <w:rPr>
          <w:rFonts w:ascii="Times New Roman" w:hAnsi="Times New Roman"/>
        </w:rPr>
        <w:t xml:space="preserve"> pozwala na likwidację odorów związanych z procesami składowania oraz stosowania gnojowicy na polach, oraz zapewnia efektywniejsze utrzymanie wilgoci w glebie i późniejsze jej nawanianie, co w obecnej sytuacji hydrologicznej w kraju ma istotne znaczenie. Eliminacja patogenów w wyniku procesów higienizacji zmniejszy ładunek biogenów wymywanych z pól i transportowanych rzekami zlewni Morza Bałtyckiego. </w:t>
      </w:r>
    </w:p>
    <w:p w14:paraId="52616E8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Ograniczenie ilości nawozów mineralnych wykorzystywanych przy produkcji rolnej pozwoli na zmniejszenie ilości zużycia gazu ziemnego, wykorzystywanego do jego produkcji, zmniejszając tym samym skalę uzależnienia od importu tego nośnika energii.</w:t>
      </w:r>
    </w:p>
    <w:p w14:paraId="7ED9A16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Nawozowe stosowanie </w:t>
      </w:r>
      <w:proofErr w:type="spellStart"/>
      <w:r w:rsidRPr="004B458B">
        <w:rPr>
          <w:rFonts w:ascii="Times New Roman" w:hAnsi="Times New Roman"/>
        </w:rPr>
        <w:t>pofermentu</w:t>
      </w:r>
      <w:proofErr w:type="spellEnd"/>
      <w:r w:rsidRPr="004B458B">
        <w:rPr>
          <w:rFonts w:ascii="Times New Roman" w:hAnsi="Times New Roman"/>
        </w:rPr>
        <w:t xml:space="preserve"> to nie tylko ograniczenie zużycia nawozów mineralnych i tym samym, kosztów nawożenia ponoszonych przez producentów rolnych. To również praktyczny element realizacji </w:t>
      </w:r>
      <w:r w:rsidRPr="004B458B">
        <w:rPr>
          <w:rFonts w:ascii="Times New Roman" w:hAnsi="Times New Roman"/>
          <w:i/>
        </w:rPr>
        <w:t xml:space="preserve">Programu działań mających na celu zmniejszanie zanieczyszczenia wód azotanami pochodzącymi ze źródeł rolniczych oraz zapobieganie dalszemu zanieczyszczeniu </w:t>
      </w:r>
      <w:r w:rsidRPr="004B458B">
        <w:rPr>
          <w:rFonts w:ascii="Times New Roman" w:hAnsi="Times New Roman"/>
        </w:rPr>
        <w:t>(Dz.U. poz. 243), który został przyjęty w lutym 2020 r. przez Radę Ministrów.</w:t>
      </w:r>
    </w:p>
    <w:p w14:paraId="7E1107DC"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Biogazownie rolnicze, w tym procesy beztlenowego rozkładu obornika w instalacji biogazowej, zostały uznane za jedną z najlepszych technik przetwarzania odchodów zwierzęcych zgodnie z obowiązującą Decyzją Wykonawczą Komisji (UE) 2017/302 z dnia 15 lutego 2017 r. </w:t>
      </w:r>
      <w:r w:rsidRPr="004B458B">
        <w:rPr>
          <w:rFonts w:ascii="Times New Roman" w:hAnsi="Times New Roman"/>
          <w:i/>
        </w:rPr>
        <w:t>ustanawiającą konkluzje dotyczące najlepszych dostępnych technik (BAT) w odniesieniu do intensywnego chowu drobiu lub świń zgodnie z dyrektywą Parlamentu Europejskiego i Rady 2010/75/UE</w:t>
      </w:r>
      <w:r w:rsidRPr="004B458B">
        <w:rPr>
          <w:rFonts w:ascii="Times New Roman" w:hAnsi="Times New Roman"/>
        </w:rPr>
        <w:t xml:space="preserve"> (notyfikowana jako dokument nr C(2017)688) (Dz.U.EU.L.2017.43.231 z dnia 21.02.2017). Powyższe zostało wskazane w punkcie 1.12 dotyczącym przetwarzania obornika w gospodarstwie – BAT 19.</w:t>
      </w:r>
    </w:p>
    <w:p w14:paraId="6E678C6A"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bCs/>
        </w:rPr>
        <w:t xml:space="preserve">Przetwarzanie odpadów i wykorzystanie produktów pracy biogazowni (energii elektrycznej, biogazu, </w:t>
      </w:r>
      <w:proofErr w:type="spellStart"/>
      <w:r w:rsidRPr="004B458B">
        <w:rPr>
          <w:rFonts w:ascii="Times New Roman" w:hAnsi="Times New Roman"/>
          <w:bCs/>
        </w:rPr>
        <w:t>pofermentu</w:t>
      </w:r>
      <w:proofErr w:type="spellEnd"/>
      <w:r w:rsidRPr="004B458B">
        <w:rPr>
          <w:rFonts w:ascii="Times New Roman" w:hAnsi="Times New Roman"/>
          <w:bCs/>
        </w:rPr>
        <w:t xml:space="preserve">, ciepła) </w:t>
      </w:r>
      <w:r w:rsidRPr="004B458B">
        <w:rPr>
          <w:rFonts w:ascii="Times New Roman" w:hAnsi="Times New Roman"/>
        </w:rPr>
        <w:t xml:space="preserve">wpływa również na zmniejszenie śladu węglowego produkcji rolnej i przetwórstwa rolno-spożywczego, co jest istotne w kontekście ograniczania emisji ze wszystkich obszarów gospodarki ale przede wszystkim może pozwolić zachować konkurencyjność krajowej branży hodowlanej. </w:t>
      </w:r>
    </w:p>
    <w:p w14:paraId="1582A457" w14:textId="26D59EBC"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Rozwój sektora biogazu/</w:t>
      </w:r>
      <w:proofErr w:type="spellStart"/>
      <w:r w:rsidRPr="004B458B">
        <w:rPr>
          <w:rFonts w:ascii="Times New Roman" w:hAnsi="Times New Roman"/>
        </w:rPr>
        <w:t>biometanu</w:t>
      </w:r>
      <w:proofErr w:type="spellEnd"/>
      <w:r w:rsidRPr="004B458B">
        <w:rPr>
          <w:rFonts w:ascii="Times New Roman" w:hAnsi="Times New Roman"/>
        </w:rPr>
        <w:t xml:space="preserve"> wpłynie znacząco na ograniczenie emisji odorów z zakładów przemysłowych, ferm trzody chlewnej, drobiu czy zwierząt futerkowych, składowisk oraz spalarni odpadów, ubojni i innych obiektów uciążliwych dla sąsiedztwa.</w:t>
      </w:r>
    </w:p>
    <w:p w14:paraId="041347AD" w14:textId="77777777" w:rsidR="001C24CF" w:rsidRPr="004B458B" w:rsidRDefault="001C24CF" w:rsidP="001C24CF">
      <w:pPr>
        <w:pStyle w:val="Akapitzlist"/>
        <w:numPr>
          <w:ilvl w:val="0"/>
          <w:numId w:val="165"/>
        </w:numPr>
        <w:spacing w:line="259" w:lineRule="auto"/>
        <w:ind w:left="567"/>
        <w:rPr>
          <w:rFonts w:ascii="Times New Roman" w:hAnsi="Times New Roman"/>
          <w:b/>
        </w:rPr>
      </w:pPr>
      <w:r w:rsidRPr="004B458B">
        <w:rPr>
          <w:rFonts w:ascii="Times New Roman" w:hAnsi="Times New Roman"/>
          <w:b/>
        </w:rPr>
        <w:t>Wzrost przychodów samorządów terytorialnych</w:t>
      </w:r>
    </w:p>
    <w:p w14:paraId="72B169AC"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Instalacje biogazu (w tym </w:t>
      </w:r>
      <w:proofErr w:type="spellStart"/>
      <w:r w:rsidRPr="004B458B">
        <w:rPr>
          <w:rFonts w:ascii="Times New Roman" w:hAnsi="Times New Roman"/>
          <w:bCs/>
        </w:rPr>
        <w:t>biometanu</w:t>
      </w:r>
      <w:proofErr w:type="spellEnd"/>
      <w:r w:rsidRPr="004B458B">
        <w:rPr>
          <w:rFonts w:ascii="Times New Roman" w:hAnsi="Times New Roman"/>
          <w:bCs/>
        </w:rPr>
        <w:t xml:space="preserve">) rozlokowane na terenach poszczególnych gmin stanowią dodatkowe źródło przychodów dla budżetów samorządów lokalnych. Największą pozycję stanowi podatek od nieruchomości zazwyczaj określany na poziomie ok. 2% wartości budowli (sieci elektroenergetycznych czy instalacji uzdatniania biogazu) oraz budynków gospodarczych (socjalnych, maszynowni, itp.). </w:t>
      </w:r>
    </w:p>
    <w:p w14:paraId="1B2FE3AC"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bCs/>
        </w:rPr>
        <w:t xml:space="preserve">Dla referencyjnej jednostki produkcyjnej o wydajności ok. </w:t>
      </w:r>
      <w:r w:rsidRPr="004B458B">
        <w:rPr>
          <w:rFonts w:ascii="Times New Roman" w:hAnsi="Times New Roman"/>
          <w:color w:val="000000"/>
        </w:rPr>
        <w:t>2 mln m</w:t>
      </w:r>
      <w:r w:rsidRPr="004B458B">
        <w:rPr>
          <w:rFonts w:ascii="Times New Roman" w:hAnsi="Times New Roman"/>
          <w:color w:val="000000"/>
          <w:vertAlign w:val="superscript"/>
        </w:rPr>
        <w:t xml:space="preserve">3 </w:t>
      </w:r>
      <w:proofErr w:type="spellStart"/>
      <w:r w:rsidRPr="004B458B">
        <w:rPr>
          <w:rFonts w:ascii="Times New Roman" w:hAnsi="Times New Roman"/>
          <w:color w:val="000000"/>
        </w:rPr>
        <w:t>biometanu</w:t>
      </w:r>
      <w:proofErr w:type="spellEnd"/>
      <w:r w:rsidRPr="004B458B">
        <w:rPr>
          <w:rFonts w:ascii="Times New Roman" w:hAnsi="Times New Roman"/>
          <w:color w:val="000000"/>
        </w:rPr>
        <w:t xml:space="preserve"> rocznie, przyjmując wartość inwestycji w przedziale 18,5-20 mln zł oraz 35% udział budynków i budowli, przychody gminy z tytułu podatku od nieruchomości należy szacować na poziomie: </w:t>
      </w:r>
      <w:r w:rsidRPr="004B458B">
        <w:rPr>
          <w:rFonts w:ascii="Times New Roman" w:hAnsi="Times New Roman"/>
          <w:b/>
          <w:color w:val="000000"/>
        </w:rPr>
        <w:t>129,5 – 140 tys. zł rocznie</w:t>
      </w:r>
      <w:r w:rsidRPr="004B458B">
        <w:rPr>
          <w:rFonts w:ascii="Times New Roman" w:hAnsi="Times New Roman"/>
          <w:color w:val="000000"/>
        </w:rPr>
        <w:t>.</w:t>
      </w:r>
    </w:p>
    <w:p w14:paraId="173DFE73"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 xml:space="preserve">Do ww. kwoty należy również doliczyć przychody z tytułu podatku gruntowego (średnio ok. 2,5ha powierzchni) – </w:t>
      </w:r>
      <w:r w:rsidRPr="004B458B">
        <w:rPr>
          <w:rFonts w:ascii="Times New Roman" w:hAnsi="Times New Roman"/>
          <w:b/>
          <w:color w:val="000000"/>
        </w:rPr>
        <w:t>25 tys. zł rocznie</w:t>
      </w:r>
      <w:r w:rsidRPr="004B458B">
        <w:rPr>
          <w:rFonts w:ascii="Times New Roman" w:hAnsi="Times New Roman"/>
          <w:color w:val="000000"/>
        </w:rPr>
        <w:t>, jak również dodatkowe przychody z tytułu podatku płaconego przez operatora sieci dystrybucyjnej gazowej składające się z dwóch elementów:</w:t>
      </w:r>
    </w:p>
    <w:p w14:paraId="405747C3" w14:textId="77777777" w:rsidR="001C24CF" w:rsidRPr="004B458B" w:rsidRDefault="001C24CF" w:rsidP="001C24CF">
      <w:pPr>
        <w:pStyle w:val="Akapitzlist"/>
        <w:numPr>
          <w:ilvl w:val="0"/>
          <w:numId w:val="168"/>
        </w:numPr>
        <w:spacing w:after="80" w:line="259" w:lineRule="auto"/>
        <w:ind w:left="1281" w:hanging="357"/>
        <w:contextualSpacing w:val="0"/>
        <w:jc w:val="both"/>
        <w:rPr>
          <w:rFonts w:ascii="Times New Roman" w:hAnsi="Times New Roman"/>
          <w:color w:val="000000"/>
        </w:rPr>
      </w:pPr>
      <w:r w:rsidRPr="004B458B">
        <w:rPr>
          <w:rFonts w:ascii="Times New Roman" w:hAnsi="Times New Roman"/>
          <w:color w:val="000000"/>
        </w:rPr>
        <w:t xml:space="preserve">od sieci gazowej, </w:t>
      </w:r>
      <w:r w:rsidRPr="004B458B">
        <w:rPr>
          <w:rFonts w:ascii="Times New Roman" w:hAnsi="Times New Roman"/>
          <w:b/>
          <w:color w:val="000000"/>
        </w:rPr>
        <w:t>ok. 6 tys. zł</w:t>
      </w:r>
      <w:r w:rsidRPr="004B458B">
        <w:rPr>
          <w:rFonts w:ascii="Times New Roman" w:hAnsi="Times New Roman"/>
          <w:color w:val="000000"/>
        </w:rPr>
        <w:t xml:space="preserve"> rok za każdy kilometr sieci średniego ciśnienia (1 km sieci ok. 300tys. zł, 2% podatku),</w:t>
      </w:r>
    </w:p>
    <w:p w14:paraId="6F68D057" w14:textId="77777777" w:rsidR="001C24CF" w:rsidRPr="004B458B" w:rsidRDefault="001C24CF" w:rsidP="001C24CF">
      <w:pPr>
        <w:pStyle w:val="Akapitzlist"/>
        <w:numPr>
          <w:ilvl w:val="0"/>
          <w:numId w:val="168"/>
        </w:numPr>
        <w:spacing w:after="80" w:line="259" w:lineRule="auto"/>
        <w:ind w:left="1281" w:hanging="357"/>
        <w:contextualSpacing w:val="0"/>
        <w:jc w:val="both"/>
        <w:rPr>
          <w:rFonts w:ascii="Times New Roman" w:hAnsi="Times New Roman"/>
          <w:bCs/>
        </w:rPr>
      </w:pPr>
      <w:r w:rsidRPr="004B458B">
        <w:rPr>
          <w:rFonts w:ascii="Times New Roman" w:hAnsi="Times New Roman"/>
          <w:color w:val="000000"/>
        </w:rPr>
        <w:t xml:space="preserve">od stacji </w:t>
      </w:r>
      <w:proofErr w:type="spellStart"/>
      <w:r w:rsidRPr="004B458B">
        <w:rPr>
          <w:rFonts w:ascii="Times New Roman" w:hAnsi="Times New Roman"/>
          <w:color w:val="000000"/>
        </w:rPr>
        <w:t>redukcyjno</w:t>
      </w:r>
      <w:proofErr w:type="spellEnd"/>
      <w:r w:rsidRPr="004B458B">
        <w:rPr>
          <w:rFonts w:ascii="Times New Roman" w:hAnsi="Times New Roman"/>
          <w:color w:val="000000"/>
        </w:rPr>
        <w:t xml:space="preserve">-pomiarowej, wniesionej na potrzeby umożliwienia zatłaczania </w:t>
      </w:r>
      <w:proofErr w:type="spellStart"/>
      <w:r w:rsidRPr="004B458B">
        <w:rPr>
          <w:rFonts w:ascii="Times New Roman" w:hAnsi="Times New Roman"/>
          <w:color w:val="000000"/>
        </w:rPr>
        <w:t>biometanu</w:t>
      </w:r>
      <w:proofErr w:type="spellEnd"/>
      <w:r w:rsidRPr="004B458B">
        <w:rPr>
          <w:rFonts w:ascii="Times New Roman" w:hAnsi="Times New Roman"/>
          <w:color w:val="000000"/>
        </w:rPr>
        <w:t xml:space="preserve"> do sieci,</w:t>
      </w:r>
      <w:r w:rsidRPr="004B458B">
        <w:rPr>
          <w:rFonts w:ascii="Times New Roman" w:hAnsi="Times New Roman"/>
          <w:b/>
          <w:color w:val="000000"/>
        </w:rPr>
        <w:t xml:space="preserve"> ok. 10 tys. zł rocznie.</w:t>
      </w:r>
    </w:p>
    <w:p w14:paraId="230D84E8" w14:textId="60EF7084"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Biogazownie nie są instalacjami bezobsługowymi, w związku z czym do budżetu lokalnego samorządu wpływa również część podatków od osób fizycznych, zatrudnionych lokalnie w biogazowni, a także podatek rolny, jeżeli </w:t>
      </w:r>
      <w:r w:rsidRPr="004B458B">
        <w:rPr>
          <w:rFonts w:ascii="Times New Roman" w:hAnsi="Times New Roman"/>
          <w:bCs/>
        </w:rPr>
        <w:lastRenderedPageBreak/>
        <w:t xml:space="preserve">biogazownia wykorzystywana jest tylko i wyłącznie w ramach prowadzonej działalności rolniczej. Zgodnie z zasadami określonymi w ustawie z dnia 13 listopada 2003 r. </w:t>
      </w:r>
      <w:r w:rsidRPr="004B458B">
        <w:rPr>
          <w:rFonts w:ascii="Times New Roman" w:hAnsi="Times New Roman"/>
          <w:bCs/>
          <w:i/>
        </w:rPr>
        <w:t>o dochodach jednostek samorządu terytorialnego</w:t>
      </w:r>
      <w:r w:rsidRPr="004B458B">
        <w:rPr>
          <w:rFonts w:ascii="Times New Roman" w:hAnsi="Times New Roman"/>
          <w:bCs/>
        </w:rPr>
        <w:t xml:space="preserve"> (Dz.U. z 2020 r. poz. 23, z </w:t>
      </w:r>
      <w:proofErr w:type="spellStart"/>
      <w:r w:rsidRPr="004B458B">
        <w:rPr>
          <w:rFonts w:ascii="Times New Roman" w:hAnsi="Times New Roman"/>
          <w:bCs/>
        </w:rPr>
        <w:t>późn</w:t>
      </w:r>
      <w:proofErr w:type="spellEnd"/>
      <w:r w:rsidRPr="004B458B">
        <w:rPr>
          <w:rFonts w:ascii="Times New Roman" w:hAnsi="Times New Roman"/>
          <w:bCs/>
        </w:rPr>
        <w:t>. zm.) gminy mają udział w podatku dochodowym od osób prawnych (CIT) oraz osób fizycznych (PIT), który w zakresie PIT zgodnie z informacjami zawartymi na stronach MF wynosi w 2021</w:t>
      </w:r>
      <w:r w:rsidR="00241769">
        <w:rPr>
          <w:rFonts w:ascii="Times New Roman" w:hAnsi="Times New Roman"/>
          <w:bCs/>
        </w:rPr>
        <w:t> </w:t>
      </w:r>
      <w:r w:rsidRPr="004B458B">
        <w:rPr>
          <w:rFonts w:ascii="Times New Roman" w:hAnsi="Times New Roman"/>
          <w:bCs/>
        </w:rPr>
        <w:t xml:space="preserve">r. 38,23%. </w:t>
      </w:r>
    </w:p>
    <w:p w14:paraId="58B06FF4"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Warto również zwrócić uwagę, że rozwój biogazowni na terenach wiejskich wiąże się z zapewnieniem większej przejrzystości dokonywanych transakcji z racji konieczności zapewnienia dokumentów finansowych na dostawy surowców pochodzących z gospodarstw rolnych. </w:t>
      </w:r>
    </w:p>
    <w:p w14:paraId="070C8C13"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Ograniczenie kosztów gospodarki komunalnej w gminach</w:t>
      </w:r>
    </w:p>
    <w:p w14:paraId="076671BF"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Polska jest krajem o jednej z najniższych średnich ilości odpadów komunalnych na mieszkańca (332 kg w 2019 r., przy średniej UE ok. 490 kg). Jednocześnie niewielkie ilości powstających odpadów są wykorzystywane do procesów biologicznych takich jak kompostowanie czy fermentacja 1,2 mln ton (tj. ok. 9% ilości odpadów komunalnych z 2019 r.).</w:t>
      </w:r>
    </w:p>
    <w:p w14:paraId="002672C0"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color w:val="000000"/>
        </w:rPr>
        <w:t>Ostatnie lata pokazały również, iż gospodarka odpadami jest sektorem szczególnie wrażliwym na wzrost kosztów.</w:t>
      </w:r>
      <w:r w:rsidRPr="004B458B">
        <w:rPr>
          <w:rFonts w:ascii="Times New Roman" w:hAnsi="Times New Roman"/>
        </w:rPr>
        <w:t xml:space="preserve"> Zgodnie z analizami UOKiK wzrost opłat ponoszonych przez mieszkańców rozpoczął się w 2017 r. - </w:t>
      </w:r>
      <w:r w:rsidRPr="004B458B">
        <w:rPr>
          <w:rFonts w:ascii="Times New Roman" w:hAnsi="Times New Roman"/>
          <w:bCs/>
        </w:rPr>
        <w:t>indeks wzrostu cen opłat w latach 2016-2018 wynosił ok. 4%, ale w ciągu czterech pierwszych miesięcy 2019 r. opłata w skali kraju wzrosła średnio o 16%, choć skala podwyżek istotnie różni się w zależności od regionu kraju.</w:t>
      </w:r>
    </w:p>
    <w:p w14:paraId="5E0CD25E"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Z raportu opracowanego przez UOKiK</w:t>
      </w:r>
      <w:r w:rsidRPr="004B458B">
        <w:rPr>
          <w:rStyle w:val="Odwoanieprzypisudolnego"/>
          <w:rFonts w:ascii="Times New Roman" w:hAnsi="Times New Roman"/>
        </w:rPr>
        <w:footnoteReference w:id="3"/>
      </w:r>
      <w:r w:rsidRPr="004B458B">
        <w:rPr>
          <w:rFonts w:ascii="Times New Roman" w:hAnsi="Times New Roman"/>
          <w:color w:val="000000"/>
        </w:rPr>
        <w:t xml:space="preserve"> wynika, że jednym z najbardziej istotnych czynników wpływających na wzrost cen zagospodarowania odpadów, poza kosztami zagospodarowania odpadów w instalacjach RIPOK, jest obserwowany aktualnie trend w zakresie </w:t>
      </w:r>
      <w:r w:rsidRPr="004B458B">
        <w:rPr>
          <w:rFonts w:ascii="Times New Roman" w:hAnsi="Times New Roman"/>
          <w:b/>
          <w:color w:val="000000"/>
        </w:rPr>
        <w:t>wzrostu ilości zbieranych odpadów w gminach.</w:t>
      </w:r>
      <w:r w:rsidRPr="004B458B">
        <w:rPr>
          <w:rFonts w:ascii="Times New Roman" w:hAnsi="Times New Roman"/>
          <w:color w:val="000000"/>
        </w:rPr>
        <w:t xml:space="preserve"> Badanie UOKiK potwierdziło zatem, że problem wzrastających kosztów gospodarki odpadami ma charakter systemowy, co dobrze ilustruje poniższy wykres.</w:t>
      </w:r>
    </w:p>
    <w:p w14:paraId="2CEF36D8" w14:textId="77777777" w:rsidR="001C24CF" w:rsidRPr="004B458B" w:rsidRDefault="001C24CF" w:rsidP="001C24CF">
      <w:pPr>
        <w:spacing w:after="80"/>
        <w:ind w:left="567"/>
        <w:jc w:val="both"/>
        <w:rPr>
          <w:rFonts w:ascii="Times New Roman" w:hAnsi="Times New Roman"/>
        </w:rPr>
      </w:pPr>
    </w:p>
    <w:p w14:paraId="7017C466" w14:textId="77777777" w:rsidR="001C24CF" w:rsidRPr="004B458B" w:rsidRDefault="001C24CF" w:rsidP="001C24CF">
      <w:pPr>
        <w:spacing w:after="80"/>
        <w:ind w:left="567"/>
        <w:jc w:val="center"/>
        <w:rPr>
          <w:rFonts w:ascii="Times New Roman" w:hAnsi="Times New Roman"/>
        </w:rPr>
      </w:pPr>
      <w:r w:rsidRPr="004B458B">
        <w:rPr>
          <w:rFonts w:ascii="Times New Roman" w:hAnsi="Times New Roman"/>
          <w:noProof/>
          <w:lang w:eastAsia="pl-PL"/>
        </w:rPr>
        <w:drawing>
          <wp:inline distT="0" distB="0" distL="0" distR="0" wp14:anchorId="49A7EB9D" wp14:editId="4A06C8DE">
            <wp:extent cx="4716366" cy="2973788"/>
            <wp:effectExtent l="0" t="0" r="8255" b="17145"/>
            <wp:docPr id="2" name="Wykres 2">
              <a:extLst xmlns:a="http://schemas.openxmlformats.org/drawingml/2006/main">
                <a:ext uri="{FF2B5EF4-FFF2-40B4-BE49-F238E27FC236}">
                  <a16:creationId xmlns:a16="http://schemas.microsoft.com/office/drawing/2014/main" id="{C5F92272-30AE-46CC-912D-DDA438424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D66547" w14:textId="77777777" w:rsidR="001C24CF" w:rsidRPr="004B458B" w:rsidRDefault="001C24CF" w:rsidP="001C24CF">
      <w:pPr>
        <w:spacing w:after="80"/>
        <w:ind w:left="567"/>
        <w:jc w:val="both"/>
        <w:rPr>
          <w:rFonts w:ascii="Times New Roman" w:hAnsi="Times New Roman"/>
        </w:rPr>
      </w:pPr>
    </w:p>
    <w:p w14:paraId="6DF8481B" w14:textId="77777777" w:rsidR="001C24CF" w:rsidRPr="004B458B" w:rsidRDefault="001C24CF" w:rsidP="001C24CF">
      <w:pPr>
        <w:spacing w:after="80"/>
        <w:ind w:left="567"/>
        <w:jc w:val="both"/>
        <w:rPr>
          <w:rFonts w:ascii="Times New Roman" w:hAnsi="Times New Roman"/>
        </w:rPr>
      </w:pPr>
      <w:r w:rsidRPr="004B458B">
        <w:rPr>
          <w:rFonts w:ascii="Times New Roman" w:hAnsi="Times New Roman"/>
        </w:rPr>
        <w:t>Wielkość oraz struktura strumienia odpadów komunalnych ma kluczowe znaczenie dla wielkości kosztów przypadających na mieszkańca gminy. Poza wzrostem ilościowym niekorzystnie przedstawia się również struktura strumienia odpadów, szczególnie biorąc pod uwagę:</w:t>
      </w:r>
    </w:p>
    <w:p w14:paraId="68F3228D" w14:textId="77777777" w:rsidR="001C24CF" w:rsidRPr="004B458B" w:rsidRDefault="001C24CF" w:rsidP="001C24CF">
      <w:pPr>
        <w:pStyle w:val="Akapitzlist"/>
        <w:numPr>
          <w:ilvl w:val="0"/>
          <w:numId w:val="169"/>
        </w:numPr>
        <w:spacing w:after="80" w:line="259" w:lineRule="auto"/>
        <w:jc w:val="both"/>
        <w:rPr>
          <w:rFonts w:ascii="Times New Roman" w:hAnsi="Times New Roman"/>
        </w:rPr>
      </w:pPr>
      <w:r w:rsidRPr="004B458B">
        <w:rPr>
          <w:rFonts w:ascii="Times New Roman" w:hAnsi="Times New Roman"/>
        </w:rPr>
        <w:t>wzrost odpadów komunalnych zmieszanych, których koszty zagospodarowania są wyższe niż koszty odpadów segregowanych, z uwagi na konieczność ich mechanicznego i biologicznego przetwarzania a następnie unieszkodliwiana na składowisku (co jest najdroższym i wciąż dominującym rozwiązaniem),</w:t>
      </w:r>
    </w:p>
    <w:p w14:paraId="5281670B" w14:textId="77777777" w:rsidR="001C24CF" w:rsidRPr="004B458B" w:rsidRDefault="001C24CF" w:rsidP="001C24CF">
      <w:pPr>
        <w:pStyle w:val="Akapitzlist"/>
        <w:numPr>
          <w:ilvl w:val="0"/>
          <w:numId w:val="169"/>
        </w:numPr>
        <w:spacing w:after="80" w:line="259" w:lineRule="auto"/>
        <w:jc w:val="both"/>
        <w:rPr>
          <w:rFonts w:ascii="Times New Roman" w:hAnsi="Times New Roman"/>
          <w:color w:val="000000"/>
        </w:rPr>
      </w:pPr>
      <w:r w:rsidRPr="004B458B">
        <w:rPr>
          <w:rFonts w:ascii="Times New Roman" w:hAnsi="Times New Roman"/>
        </w:rPr>
        <w:lastRenderedPageBreak/>
        <w:t xml:space="preserve">dynamiczny wzrost </w:t>
      </w:r>
      <w:r w:rsidRPr="004B458B">
        <w:rPr>
          <w:rFonts w:ascii="Times New Roman" w:hAnsi="Times New Roman"/>
          <w:color w:val="000000"/>
        </w:rPr>
        <w:t>ilość odpadów komunalnych zbieranych selektywnie, obecnie to ok. 31% ogółu odpadów komunalnych (dynamika 2018 do 2019 wyniosła 10%), w których dominujący udział mają odpady biodegradowalne (30% w 2020 r., tj. ok. 31 kg na mieszkańca – w 2018 r. było 26 kg).</w:t>
      </w:r>
    </w:p>
    <w:p w14:paraId="495AF972"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 xml:space="preserve">Odpowiedzią na wyzwania tego sektora, pozwalającą na bardziej efektywne pod względem ekonomicznym zarządzanie gospodarką komunalną w gminach, jest wykorzystanie odpadów biodegradowalnych. Biogazownie mogą również wpłynąć pozytywnie na obniżenie ilości odpadów zmieszanych, ponieważ obecnie w przypadku powszechnego stosowania w gminach technologii kompostowania zabrania się „wrzucania” odpadów mięsnych do pojemników na odpady biodegradowalne. Te odpady mogłyby natomiast być stosowane w ramach odpadów biodegradowalnych w gminach wykorzystujących do ich utylizacji biogazownie. </w:t>
      </w:r>
    </w:p>
    <w:p w14:paraId="42206C32"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Doświadczenia przede wszystkim szwedzkie oraz duńskie związane z zagospodarowaniem odpadów komunalnych w biogazowniach potwierdzają, że jest to rozwiązanie możliwe do zastosowania.</w:t>
      </w:r>
    </w:p>
    <w:p w14:paraId="70E39593" w14:textId="77777777" w:rsidR="001C24CF" w:rsidRPr="004B458B" w:rsidRDefault="001C24CF" w:rsidP="001C24CF">
      <w:pPr>
        <w:spacing w:before="120" w:after="120"/>
        <w:ind w:left="567"/>
        <w:jc w:val="both"/>
        <w:rPr>
          <w:rFonts w:ascii="Times New Roman" w:hAnsi="Times New Roman"/>
          <w:color w:val="000000"/>
        </w:rPr>
      </w:pPr>
      <w:r w:rsidRPr="004B458B">
        <w:rPr>
          <w:rFonts w:ascii="Times New Roman" w:hAnsi="Times New Roman"/>
          <w:color w:val="000000"/>
        </w:rPr>
        <w:t xml:space="preserve">Zgodnie z danymi Europejskiego Stowarzyszenia Biogazu instalacje </w:t>
      </w:r>
      <w:proofErr w:type="spellStart"/>
      <w:r w:rsidRPr="004B458B">
        <w:rPr>
          <w:rFonts w:ascii="Times New Roman" w:hAnsi="Times New Roman"/>
          <w:color w:val="000000"/>
        </w:rPr>
        <w:t>biometanu</w:t>
      </w:r>
      <w:proofErr w:type="spellEnd"/>
      <w:r w:rsidRPr="004B458B">
        <w:rPr>
          <w:rFonts w:ascii="Times New Roman" w:hAnsi="Times New Roman"/>
          <w:color w:val="000000"/>
        </w:rPr>
        <w:t xml:space="preserve"> w UE wykorzystujące surowce w postaci odpadów komunalnych (bioodpadów) jako dominujące źródło dysponują obecnie zdolnością produkcyjną wynoszącą ponad 400 mln m</w:t>
      </w:r>
      <w:r w:rsidRPr="004B458B">
        <w:rPr>
          <w:rFonts w:ascii="Times New Roman" w:hAnsi="Times New Roman"/>
          <w:color w:val="000000"/>
          <w:vertAlign w:val="superscript"/>
        </w:rPr>
        <w:t>3</w:t>
      </w:r>
      <w:r w:rsidRPr="004B458B">
        <w:rPr>
          <w:rFonts w:ascii="Times New Roman" w:hAnsi="Times New Roman"/>
          <w:color w:val="000000"/>
        </w:rPr>
        <w:t xml:space="preserve">. W efekcie, stanowi trzeci, po pozostałościach rolniczych i (wciąż jeszcze) roślinach energetycznych, surowiec do wytwarzania </w:t>
      </w:r>
      <w:proofErr w:type="spellStart"/>
      <w:r w:rsidRPr="004B458B">
        <w:rPr>
          <w:rFonts w:ascii="Times New Roman" w:hAnsi="Times New Roman"/>
          <w:color w:val="000000"/>
        </w:rPr>
        <w:t>biometanu</w:t>
      </w:r>
      <w:proofErr w:type="spellEnd"/>
      <w:r w:rsidRPr="004B458B">
        <w:rPr>
          <w:rFonts w:ascii="Times New Roman" w:hAnsi="Times New Roman"/>
          <w:color w:val="000000"/>
        </w:rPr>
        <w:t>.</w:t>
      </w:r>
    </w:p>
    <w:p w14:paraId="65EE1951"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Wykorzystanie odpadów biodegradowalnych w instalacjach biogazowych stanowi najefektywniejszą metodę ich unieszkodliwiania, przy właściwej eksploatacji niepowodującą znaczących oddziaływań na środowisko.</w:t>
      </w:r>
    </w:p>
    <w:p w14:paraId="24585BC0" w14:textId="6EB50735" w:rsidR="001C24CF" w:rsidRPr="004B458B" w:rsidRDefault="001C24CF" w:rsidP="001C24CF">
      <w:pPr>
        <w:pStyle w:val="Akapitzlist"/>
        <w:numPr>
          <w:ilvl w:val="0"/>
          <w:numId w:val="165"/>
        </w:numPr>
        <w:spacing w:after="80" w:line="259" w:lineRule="auto"/>
        <w:ind w:left="567" w:hanging="283"/>
        <w:jc w:val="both"/>
        <w:rPr>
          <w:rFonts w:ascii="Times New Roman" w:hAnsi="Times New Roman"/>
          <w:b/>
        </w:rPr>
      </w:pPr>
      <w:r w:rsidRPr="004B458B">
        <w:rPr>
          <w:rFonts w:ascii="Times New Roman" w:hAnsi="Times New Roman"/>
          <w:b/>
        </w:rPr>
        <w:t xml:space="preserve">Wzrost ilości miejsc pracy na szczeblu lokalnym </w:t>
      </w:r>
    </w:p>
    <w:p w14:paraId="6CC49F4D" w14:textId="77777777" w:rsidR="001C24CF" w:rsidRPr="004B458B" w:rsidRDefault="001C24CF" w:rsidP="001C24CF">
      <w:pPr>
        <w:spacing w:after="80"/>
        <w:ind w:left="567"/>
        <w:jc w:val="both"/>
        <w:rPr>
          <w:rFonts w:ascii="Times New Roman" w:hAnsi="Times New Roman"/>
        </w:rPr>
      </w:pPr>
      <w:r w:rsidRPr="004B458B">
        <w:rPr>
          <w:rFonts w:ascii="Times New Roman" w:hAnsi="Times New Roman"/>
        </w:rPr>
        <w:t xml:space="preserve">Zgodnie z analizami sektora w UE pojedyncza instalacja </w:t>
      </w:r>
      <w:proofErr w:type="spellStart"/>
      <w:r w:rsidRPr="004B458B">
        <w:rPr>
          <w:rFonts w:ascii="Times New Roman" w:hAnsi="Times New Roman"/>
        </w:rPr>
        <w:t>biometanu</w:t>
      </w:r>
      <w:proofErr w:type="spellEnd"/>
      <w:r w:rsidRPr="004B458B">
        <w:rPr>
          <w:rFonts w:ascii="Times New Roman" w:hAnsi="Times New Roman"/>
        </w:rPr>
        <w:t xml:space="preserve"> generuje średnio 3- 4 lokalne miejsca pracy związane z codzienną obsługą i konserwacją instalacji. Dane w tym zakresie potwierdza szereg opracowań w tym m.in.:</w:t>
      </w:r>
    </w:p>
    <w:p w14:paraId="4E2042E9"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Biogas and Biomethane in Europe: Lessons from Denmark</w:t>
      </w:r>
      <w:r w:rsidRPr="004B458B">
        <w:rPr>
          <w:rFonts w:ascii="Times New Roman" w:hAnsi="Times New Roman"/>
          <w:lang w:val="en-GB"/>
        </w:rPr>
        <w:t>”, Germany and Italy, IFRI, 2019,</w:t>
      </w:r>
    </w:p>
    <w:p w14:paraId="46B3BAE3"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Study of the impact of the biogas sector on employment in France from 2018 to 2030</w:t>
      </w:r>
      <w:r w:rsidRPr="004B458B">
        <w:rPr>
          <w:rFonts w:ascii="Times New Roman" w:hAnsi="Times New Roman"/>
          <w:lang w:val="en-GB"/>
        </w:rPr>
        <w:t>”, July 2019 Renewable Gas French Panorama,</w:t>
      </w:r>
    </w:p>
    <w:p w14:paraId="781572EC" w14:textId="77777777" w:rsidR="001C24CF" w:rsidRPr="004B458B" w:rsidRDefault="001C24CF" w:rsidP="001C24CF">
      <w:pPr>
        <w:pStyle w:val="Akapitzlist"/>
        <w:numPr>
          <w:ilvl w:val="1"/>
          <w:numId w:val="170"/>
        </w:numPr>
        <w:spacing w:after="80" w:line="259" w:lineRule="auto"/>
        <w:ind w:left="1275" w:hanging="198"/>
        <w:contextualSpacing w:val="0"/>
        <w:jc w:val="both"/>
        <w:rPr>
          <w:rFonts w:ascii="Times New Roman" w:hAnsi="Times New Roman"/>
          <w:lang w:val="en-GB"/>
        </w:rPr>
      </w:pPr>
      <w:r w:rsidRPr="004B458B">
        <w:rPr>
          <w:rFonts w:ascii="Times New Roman" w:hAnsi="Times New Roman"/>
          <w:lang w:val="en-GB"/>
        </w:rPr>
        <w:t>„</w:t>
      </w:r>
      <w:r w:rsidRPr="004B458B">
        <w:rPr>
          <w:rFonts w:ascii="Times New Roman" w:hAnsi="Times New Roman"/>
          <w:i/>
          <w:lang w:val="en-GB"/>
        </w:rPr>
        <w:t>Ecological Transition, Regions, Jobs</w:t>
      </w:r>
      <w:r w:rsidRPr="004B458B">
        <w:rPr>
          <w:rFonts w:ascii="Times New Roman" w:hAnsi="Times New Roman"/>
          <w:lang w:val="en-GB"/>
        </w:rPr>
        <w:t>” (TETE), Action Climate France network.</w:t>
      </w:r>
    </w:p>
    <w:p w14:paraId="69E6CD7B" w14:textId="77777777" w:rsidR="001C24CF" w:rsidRPr="004B458B" w:rsidRDefault="001C24CF" w:rsidP="001C24CF">
      <w:pPr>
        <w:spacing w:after="80"/>
        <w:ind w:left="567"/>
        <w:jc w:val="both"/>
        <w:rPr>
          <w:rFonts w:ascii="Times New Roman" w:hAnsi="Times New Roman"/>
          <w:color w:val="000000"/>
          <w:spacing w:val="-2"/>
        </w:rPr>
      </w:pPr>
      <w:r w:rsidRPr="004B458B">
        <w:rPr>
          <w:rFonts w:ascii="Times New Roman" w:hAnsi="Times New Roman"/>
        </w:rPr>
        <w:t xml:space="preserve">Instalacje </w:t>
      </w:r>
      <w:proofErr w:type="spellStart"/>
      <w:r w:rsidRPr="004B458B">
        <w:rPr>
          <w:rFonts w:ascii="Times New Roman" w:hAnsi="Times New Roman"/>
        </w:rPr>
        <w:t>biometanu</w:t>
      </w:r>
      <w:proofErr w:type="spellEnd"/>
      <w:r w:rsidRPr="004B458B">
        <w:rPr>
          <w:rFonts w:ascii="Times New Roman" w:hAnsi="Times New Roman"/>
        </w:rPr>
        <w:t xml:space="preserve"> wymagają obsługi w trybie ciągłym, jak również zapewnienia odpowiedniej ilości substratów co generuje koszty operacyjne, które są zróżnicowane w zależności od surowca i technologii oczyszczania oraz mogą wynosić</w:t>
      </w:r>
      <w:r w:rsidRPr="004B458B">
        <w:rPr>
          <w:rFonts w:ascii="Times New Roman" w:hAnsi="Times New Roman"/>
          <w:color w:val="000000"/>
        </w:rPr>
        <w:t xml:space="preserve"> </w:t>
      </w:r>
      <w:r w:rsidRPr="004B458B">
        <w:rPr>
          <w:rFonts w:ascii="Times New Roman" w:hAnsi="Times New Roman"/>
          <w:b/>
          <w:color w:val="000000"/>
        </w:rPr>
        <w:t xml:space="preserve">od 3,0 do 5,5 mln zł dla instalacji o wielkości 1MW </w:t>
      </w:r>
      <w:r w:rsidRPr="004B458B">
        <w:rPr>
          <w:rFonts w:ascii="Times New Roman" w:hAnsi="Times New Roman"/>
          <w:color w:val="000000"/>
        </w:rPr>
        <w:t>(ok. 2,2 mln m</w:t>
      </w:r>
      <w:r w:rsidRPr="004B458B">
        <w:rPr>
          <w:rFonts w:ascii="Times New Roman" w:hAnsi="Times New Roman"/>
          <w:color w:val="000000"/>
          <w:vertAlign w:val="superscript"/>
        </w:rPr>
        <w:t>3</w:t>
      </w:r>
      <w:r w:rsidRPr="004B458B">
        <w:rPr>
          <w:rFonts w:ascii="Times New Roman" w:hAnsi="Times New Roman"/>
          <w:color w:val="000000"/>
        </w:rPr>
        <w:t xml:space="preserve"> </w:t>
      </w:r>
      <w:proofErr w:type="spellStart"/>
      <w:r w:rsidRPr="004B458B">
        <w:rPr>
          <w:rFonts w:ascii="Times New Roman" w:hAnsi="Times New Roman"/>
          <w:color w:val="000000"/>
        </w:rPr>
        <w:t>biometanu</w:t>
      </w:r>
      <w:proofErr w:type="spellEnd"/>
      <w:r w:rsidRPr="004B458B">
        <w:rPr>
          <w:rFonts w:ascii="Times New Roman" w:hAnsi="Times New Roman"/>
          <w:color w:val="000000"/>
        </w:rPr>
        <w:t xml:space="preserve"> rocznie). Są to najczęściej wydatki o lokalnym charakterze.</w:t>
      </w:r>
      <w:r w:rsidRPr="004B458B">
        <w:rPr>
          <w:rFonts w:ascii="Times New Roman" w:hAnsi="Times New Roman"/>
          <w:color w:val="000000"/>
          <w:spacing w:val="-2"/>
        </w:rPr>
        <w:t xml:space="preserve"> Instalacje do produkcji </w:t>
      </w:r>
      <w:proofErr w:type="spellStart"/>
      <w:r w:rsidRPr="004B458B">
        <w:rPr>
          <w:rFonts w:ascii="Times New Roman" w:hAnsi="Times New Roman"/>
          <w:color w:val="000000"/>
          <w:spacing w:val="-2"/>
        </w:rPr>
        <w:t>biometanu</w:t>
      </w:r>
      <w:proofErr w:type="spellEnd"/>
      <w:r w:rsidRPr="004B458B">
        <w:rPr>
          <w:rFonts w:ascii="Times New Roman" w:hAnsi="Times New Roman"/>
          <w:color w:val="000000"/>
          <w:spacing w:val="-2"/>
        </w:rPr>
        <w:t xml:space="preserve"> będą rozproszone na terenie całego kraju. Powstawać będą przede wszystkim w pobliżu źródła surowca co wpłynie pozytywnie na aktywizację i rozwój tych terenów.</w:t>
      </w:r>
    </w:p>
    <w:p w14:paraId="1A113418"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 xml:space="preserve">Impuls do rozwoju dodatkowych branż – wzrost inwestycji krajowych, rozwój </w:t>
      </w:r>
      <w:proofErr w:type="spellStart"/>
      <w:r w:rsidRPr="004B458B">
        <w:rPr>
          <w:rFonts w:ascii="Times New Roman" w:hAnsi="Times New Roman"/>
          <w:b/>
          <w:i/>
          <w:iCs/>
        </w:rPr>
        <w:t>local</w:t>
      </w:r>
      <w:proofErr w:type="spellEnd"/>
      <w:r w:rsidRPr="004B458B">
        <w:rPr>
          <w:rFonts w:ascii="Times New Roman" w:hAnsi="Times New Roman"/>
          <w:b/>
          <w:i/>
          <w:iCs/>
        </w:rPr>
        <w:t xml:space="preserve"> </w:t>
      </w:r>
      <w:proofErr w:type="spellStart"/>
      <w:r w:rsidRPr="004B458B">
        <w:rPr>
          <w:rFonts w:ascii="Times New Roman" w:hAnsi="Times New Roman"/>
          <w:b/>
          <w:i/>
          <w:iCs/>
        </w:rPr>
        <w:t>content</w:t>
      </w:r>
      <w:proofErr w:type="spellEnd"/>
    </w:p>
    <w:p w14:paraId="21083C2F"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Średnie koszty instalacji produkcji </w:t>
      </w:r>
      <w:proofErr w:type="spellStart"/>
      <w:r w:rsidRPr="004B458B">
        <w:rPr>
          <w:rFonts w:ascii="Times New Roman" w:hAnsi="Times New Roman"/>
          <w:bCs/>
        </w:rPr>
        <w:t>biometanu</w:t>
      </w:r>
      <w:proofErr w:type="spellEnd"/>
      <w:r w:rsidRPr="004B458B">
        <w:rPr>
          <w:rFonts w:ascii="Times New Roman" w:hAnsi="Times New Roman"/>
          <w:bCs/>
        </w:rPr>
        <w:t xml:space="preserve"> wynoszą ok. 18,5 – 20 mln zł w przypadku jednostki produkcyjnej o wydajności 2 mln</w:t>
      </w:r>
      <w:r w:rsidRPr="004B458B">
        <w:rPr>
          <w:rFonts w:ascii="Times New Roman" w:hAnsi="Times New Roman"/>
          <w:bCs/>
          <w:vertAlign w:val="superscript"/>
        </w:rPr>
        <w:t>3</w:t>
      </w:r>
      <w:r w:rsidRPr="004B458B">
        <w:rPr>
          <w:rFonts w:ascii="Times New Roman" w:hAnsi="Times New Roman"/>
          <w:bCs/>
        </w:rPr>
        <w:t xml:space="preserve"> </w:t>
      </w:r>
      <w:proofErr w:type="spellStart"/>
      <w:r w:rsidRPr="004B458B">
        <w:rPr>
          <w:rFonts w:ascii="Times New Roman" w:hAnsi="Times New Roman"/>
          <w:bCs/>
        </w:rPr>
        <w:t>biometanu</w:t>
      </w:r>
      <w:proofErr w:type="spellEnd"/>
      <w:r w:rsidRPr="004B458B">
        <w:rPr>
          <w:rFonts w:ascii="Times New Roman" w:hAnsi="Times New Roman"/>
          <w:bCs/>
        </w:rPr>
        <w:t xml:space="preserve"> rocznie. Zatem w celu realizacji 500 instalacji o wskazanej powyżej zdolności produkcyjnej konieczne będzie zainwestowanie środków finansowych rzędu 9,25 – 10 mld zł. </w:t>
      </w:r>
    </w:p>
    <w:p w14:paraId="53F9AB25"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Budowa kilkuset instalacji wytwarzania biogazu (na przestrzeni najbliższych lat) będzie stanowiła istotny impuls dla rozwoju branży budowlanej w kraju – należy mieć na uwadze, że sam proces budowy zajmuje ok. 6 miesięcy i wymaga zatrudnienia ok. 10 pracowników budowlanych. Należy mieć również na uwadze konieczność zaangażowania dodatkowo wykwalifikowanych firm zajmujących się montażem instalacji oraz urządzeń wchodzących w skład biogazowni i urządzeń uzdatniających biogaz do jakości </w:t>
      </w:r>
      <w:proofErr w:type="spellStart"/>
      <w:r w:rsidRPr="004B458B">
        <w:rPr>
          <w:rFonts w:ascii="Times New Roman" w:hAnsi="Times New Roman"/>
          <w:bCs/>
        </w:rPr>
        <w:t>biometanu</w:t>
      </w:r>
      <w:proofErr w:type="spellEnd"/>
      <w:r w:rsidRPr="004B458B">
        <w:rPr>
          <w:rFonts w:ascii="Times New Roman" w:hAnsi="Times New Roman"/>
          <w:bCs/>
        </w:rPr>
        <w:t>.</w:t>
      </w:r>
    </w:p>
    <w:p w14:paraId="2C277CA4"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 xml:space="preserve">Tylko wybudowanie zbiorników fermentacyjnych (3szt.) oraz zbiornika przeznaczonego na magazynowanie </w:t>
      </w:r>
      <w:proofErr w:type="spellStart"/>
      <w:r w:rsidRPr="004B458B">
        <w:rPr>
          <w:rFonts w:ascii="Times New Roman" w:hAnsi="Times New Roman"/>
          <w:bCs/>
        </w:rPr>
        <w:t>pofermentu</w:t>
      </w:r>
      <w:proofErr w:type="spellEnd"/>
      <w:r w:rsidRPr="004B458B">
        <w:rPr>
          <w:rFonts w:ascii="Times New Roman" w:hAnsi="Times New Roman"/>
          <w:bCs/>
        </w:rPr>
        <w:t xml:space="preserve"> pochłania średnio ok. 1,4 tys. m</w:t>
      </w:r>
      <w:r w:rsidRPr="004B458B">
        <w:rPr>
          <w:rFonts w:ascii="Times New Roman" w:hAnsi="Times New Roman"/>
          <w:bCs/>
          <w:vertAlign w:val="superscript"/>
        </w:rPr>
        <w:t>3</w:t>
      </w:r>
      <w:r w:rsidRPr="004B458B">
        <w:rPr>
          <w:rFonts w:ascii="Times New Roman" w:hAnsi="Times New Roman"/>
          <w:bCs/>
        </w:rPr>
        <w:t xml:space="preserve"> betonu oraz 60-70 ton stali. Do tego dochodzą pozostałe materiały budowlane oraz izolacyjne, kruszywo, tereny utwardzone (beton lub kostka) oraz wiele innych.</w:t>
      </w:r>
    </w:p>
    <w:p w14:paraId="01E55D06" w14:textId="77777777" w:rsidR="001C24CF" w:rsidRPr="004B458B" w:rsidRDefault="001C24CF" w:rsidP="001C24CF">
      <w:pPr>
        <w:spacing w:before="120" w:after="120"/>
        <w:ind w:left="567"/>
        <w:jc w:val="both"/>
        <w:rPr>
          <w:rFonts w:ascii="Times New Roman" w:hAnsi="Times New Roman"/>
          <w:b/>
          <w:bCs/>
          <w:i/>
        </w:rPr>
      </w:pPr>
      <w:r w:rsidRPr="004B458B">
        <w:rPr>
          <w:rFonts w:ascii="Times New Roman" w:hAnsi="Times New Roman"/>
          <w:bCs/>
        </w:rPr>
        <w:t xml:space="preserve">Budowa instalacji wytwarzania </w:t>
      </w:r>
      <w:proofErr w:type="spellStart"/>
      <w:r w:rsidRPr="004B458B">
        <w:rPr>
          <w:rFonts w:ascii="Times New Roman" w:hAnsi="Times New Roman"/>
          <w:bCs/>
        </w:rPr>
        <w:t>biometanu</w:t>
      </w:r>
      <w:proofErr w:type="spellEnd"/>
      <w:r w:rsidRPr="004B458B">
        <w:rPr>
          <w:rFonts w:ascii="Times New Roman" w:hAnsi="Times New Roman"/>
          <w:bCs/>
        </w:rPr>
        <w:t xml:space="preserve"> wiąże się również z rozwojem krajowych przedsiębiorstw z branż zajmujących się automatyką, urządzeniami pomiarowymi, specjalistycznym osprzętem. Dotychczasowe doświadczenia w ww. zakresie wskazują, nawet pomimo stosunkowo ograniczonego rozwoju sektora biogazu w ostatnich latach, na istotny udział firm krajowych w zleceniach dotyczących budowy i obsługi poszczególnych instalacji.</w:t>
      </w:r>
    </w:p>
    <w:p w14:paraId="572E608E" w14:textId="09347AC5"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lastRenderedPageBreak/>
        <w:t>Ponadto</w:t>
      </w:r>
      <w:r w:rsidR="00241769">
        <w:rPr>
          <w:rFonts w:ascii="Times New Roman" w:hAnsi="Times New Roman"/>
          <w:bCs/>
        </w:rPr>
        <w:t>,</w:t>
      </w:r>
      <w:r w:rsidRPr="004B458B">
        <w:rPr>
          <w:rFonts w:ascii="Times New Roman" w:hAnsi="Times New Roman"/>
          <w:bCs/>
        </w:rPr>
        <w:t xml:space="preserve"> generuje ona dodatkowe miejsca pracy w tych sektorach i zapotrzebowanie na pracowników o wysokich kwalifikacjach zawodowych. Instalacja biogazowa jest instalacją interdyscyplinarną, która na potrzeby rozwoju, budowy i wsparcia eksploatacji będzie wymagała szerokiego grona specjalistów począwszy od biotechnologów a na specjalistach IT kończąc.</w:t>
      </w:r>
    </w:p>
    <w:p w14:paraId="293B1C5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Tworzenie tzw. lokalnych łańcuchów wartości dodanej to nie tylko aktywizacja gospodarcza wsi oraz zwiększenie zatrudnienia wśród społeczności lokalnej oraz jednostek gospodarczych branży rolniczej. To również zagadnienia związane z zapewnieniem efektywnego wykorzystania i maksymalizacji krajowych zdolności w zakresie techniki i technologii biogazowych i </w:t>
      </w:r>
      <w:proofErr w:type="spellStart"/>
      <w:r w:rsidRPr="004B458B">
        <w:rPr>
          <w:rFonts w:ascii="Times New Roman" w:hAnsi="Times New Roman"/>
        </w:rPr>
        <w:t>biometanowych</w:t>
      </w:r>
      <w:proofErr w:type="spellEnd"/>
      <w:r w:rsidRPr="004B458B">
        <w:rPr>
          <w:rFonts w:ascii="Times New Roman" w:hAnsi="Times New Roman"/>
        </w:rPr>
        <w:t xml:space="preserve">, a także posiadanego w tym obszarze potencjału intelektualnego, z uwzględnieniem optymalizacji międzynarodowej współpracy. </w:t>
      </w:r>
    </w:p>
    <w:p w14:paraId="63458767" w14:textId="2EF6DE5F"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Ograniczenie emisji metanu do atmosfery</w:t>
      </w:r>
    </w:p>
    <w:p w14:paraId="7D686C9B" w14:textId="77777777" w:rsidR="001C24CF" w:rsidRPr="004B458B" w:rsidRDefault="001C24CF" w:rsidP="001C24CF">
      <w:pPr>
        <w:spacing w:before="120" w:after="120"/>
        <w:ind w:left="567"/>
        <w:jc w:val="both"/>
        <w:rPr>
          <w:rFonts w:ascii="Times New Roman" w:hAnsi="Times New Roman"/>
          <w:bCs/>
        </w:rPr>
      </w:pPr>
      <w:r w:rsidRPr="004B458B">
        <w:rPr>
          <w:rFonts w:ascii="Times New Roman" w:hAnsi="Times New Roman"/>
          <w:bCs/>
        </w:rPr>
        <w:t>Metan (CH4) jest drugim najpowszechniejszym gazem cieplarnianym, którego emisje antropogeniczne są związane w dużej mierze z rolnictwem, skąd pochodzi ok. 30% emisji tego gazu jako efektu fermentacji jelitowej oraz gospodarowania obornikiem.</w:t>
      </w:r>
    </w:p>
    <w:p w14:paraId="2A1B6F9F" w14:textId="77777777" w:rsidR="001C24CF" w:rsidRPr="004B458B" w:rsidRDefault="001C24CF" w:rsidP="001C24CF">
      <w:pPr>
        <w:spacing w:before="120" w:after="120"/>
        <w:ind w:left="567"/>
        <w:jc w:val="both"/>
        <w:rPr>
          <w:rFonts w:ascii="Times New Roman" w:hAnsi="Times New Roman"/>
          <w:color w:val="000000"/>
          <w:spacing w:val="-2"/>
        </w:rPr>
      </w:pPr>
      <w:r w:rsidRPr="004B458B">
        <w:rPr>
          <w:rFonts w:ascii="Times New Roman" w:hAnsi="Times New Roman"/>
          <w:color w:val="000000"/>
          <w:spacing w:val="-2"/>
        </w:rPr>
        <w:t xml:space="preserve">Wykorzystanie energetyczne </w:t>
      </w:r>
      <w:proofErr w:type="spellStart"/>
      <w:r w:rsidRPr="004B458B">
        <w:rPr>
          <w:rFonts w:ascii="Times New Roman" w:hAnsi="Times New Roman"/>
          <w:color w:val="000000"/>
          <w:spacing w:val="-2"/>
        </w:rPr>
        <w:t>biometanu</w:t>
      </w:r>
      <w:proofErr w:type="spellEnd"/>
      <w:r w:rsidRPr="004B458B">
        <w:rPr>
          <w:rFonts w:ascii="Times New Roman" w:hAnsi="Times New Roman"/>
          <w:color w:val="000000"/>
          <w:spacing w:val="-2"/>
        </w:rPr>
        <w:t xml:space="preserve"> będzie powodować redukcję emisji gazów cieplarnianych do atmosfery, która nie wiąże się tylko i wyłącznie z ograniczeniem gazu ziemnego lub ropy naftowej wykorzystywanej do produkcji paliw ciekłych.</w:t>
      </w:r>
    </w:p>
    <w:p w14:paraId="7995DD3B"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Instytut Technologiczno-Przyrodniczy szacuje, że tylko odchody bydła i trzody chlewnej stanowią w kraju ok. 99 mln ton – powodując istotne emisje metanu i podtlenku azotu, przy zgodnie z danymi KOWR w 2019 r. do wytwarzania biogazu wykorzystano zaledwie 733 tys. ton gnojowicy. Należy w tym względzie zaznaczyć na malejący aspekt społecznej akceptacji dla procesu surowego umieszczania gnojowicy i obornika na polach.</w:t>
      </w:r>
    </w:p>
    <w:p w14:paraId="40537226" w14:textId="77777777" w:rsidR="001C24CF" w:rsidRPr="004B458B" w:rsidRDefault="001C24CF" w:rsidP="001C24CF">
      <w:pPr>
        <w:pStyle w:val="Akapitzlist"/>
        <w:numPr>
          <w:ilvl w:val="0"/>
          <w:numId w:val="165"/>
        </w:numPr>
        <w:spacing w:after="80" w:line="259" w:lineRule="auto"/>
        <w:ind w:left="567"/>
        <w:jc w:val="both"/>
        <w:rPr>
          <w:rFonts w:ascii="Times New Roman" w:hAnsi="Times New Roman"/>
          <w:b/>
        </w:rPr>
      </w:pPr>
      <w:r w:rsidRPr="004B458B">
        <w:rPr>
          <w:rFonts w:ascii="Times New Roman" w:hAnsi="Times New Roman"/>
          <w:b/>
        </w:rPr>
        <w:t>Realizacja celów OZE w transporcie</w:t>
      </w:r>
    </w:p>
    <w:p w14:paraId="5C4EE502" w14:textId="77777777" w:rsidR="001C24CF" w:rsidRPr="004B458B" w:rsidRDefault="001C24CF" w:rsidP="001C24CF">
      <w:pPr>
        <w:pStyle w:val="Akapitzlist"/>
        <w:spacing w:before="120" w:after="120"/>
        <w:ind w:left="567"/>
        <w:contextualSpacing w:val="0"/>
        <w:jc w:val="both"/>
        <w:rPr>
          <w:rFonts w:ascii="Times New Roman" w:hAnsi="Times New Roman"/>
        </w:rPr>
      </w:pPr>
      <w:r w:rsidRPr="004B458B">
        <w:rPr>
          <w:rFonts w:ascii="Times New Roman" w:hAnsi="Times New Roman"/>
          <w:bCs/>
        </w:rPr>
        <w:t xml:space="preserve">Zakres obowiązków </w:t>
      </w:r>
      <w:r w:rsidRPr="004B458B">
        <w:rPr>
          <w:rFonts w:ascii="Times New Roman" w:hAnsi="Times New Roman"/>
        </w:rPr>
        <w:t xml:space="preserve">określonych w dyrektywie Parlamentu Europejskiego i Rady (UE) 2018/2001 z dnia 11 grudnia 2018 r. </w:t>
      </w:r>
      <w:r w:rsidRPr="004B458B">
        <w:rPr>
          <w:rFonts w:ascii="Times New Roman" w:hAnsi="Times New Roman"/>
          <w:i/>
        </w:rPr>
        <w:t>w sprawie promowania stosowania energii ze źródeł odnawialnych</w:t>
      </w:r>
      <w:r w:rsidRPr="004B458B">
        <w:rPr>
          <w:rFonts w:ascii="Times New Roman" w:hAnsi="Times New Roman"/>
        </w:rPr>
        <w:t xml:space="preserve"> potwierdza zasadność poszukiwania nowych rodzajów biomasy, substratów do ich produkcji np. bioodpadów, co wynika z koncentrowania się na rozwoju nowych technologii zwiększających wykorzystanie biopaliw zaawansowanych, tj. wytwarzanych przede wszystkim z surowców o charakterze odpadowym i niespożywczym.</w:t>
      </w:r>
    </w:p>
    <w:p w14:paraId="59B46953" w14:textId="77777777" w:rsidR="001C24CF" w:rsidRPr="004B458B" w:rsidRDefault="001C24CF" w:rsidP="001C24CF">
      <w:pPr>
        <w:spacing w:before="120" w:after="120"/>
        <w:ind w:left="567"/>
        <w:jc w:val="both"/>
        <w:rPr>
          <w:rFonts w:ascii="Times New Roman" w:hAnsi="Times New Roman"/>
        </w:rPr>
      </w:pPr>
      <w:proofErr w:type="spellStart"/>
      <w:r w:rsidRPr="004B458B">
        <w:rPr>
          <w:rFonts w:ascii="Times New Roman" w:hAnsi="Times New Roman"/>
        </w:rPr>
        <w:t>Biometan</w:t>
      </w:r>
      <w:proofErr w:type="spellEnd"/>
      <w:r w:rsidRPr="004B458B">
        <w:rPr>
          <w:rFonts w:ascii="Times New Roman" w:hAnsi="Times New Roman"/>
        </w:rPr>
        <w:t xml:space="preserve"> wytworzony z surowców wskazanych w zał. IX cz. A ww. dyrektywy umożliwia spełnienie wymogów w zakresie minimalnego udziału tzw. </w:t>
      </w:r>
      <w:proofErr w:type="spellStart"/>
      <w:r w:rsidRPr="004B458B">
        <w:rPr>
          <w:rFonts w:ascii="Times New Roman" w:hAnsi="Times New Roman"/>
          <w:i/>
        </w:rPr>
        <w:t>advanced</w:t>
      </w:r>
      <w:proofErr w:type="spellEnd"/>
      <w:r w:rsidRPr="004B458B">
        <w:rPr>
          <w:rFonts w:ascii="Times New Roman" w:hAnsi="Times New Roman"/>
          <w:i/>
        </w:rPr>
        <w:t xml:space="preserve"> </w:t>
      </w:r>
      <w:proofErr w:type="spellStart"/>
      <w:r w:rsidRPr="004B458B">
        <w:rPr>
          <w:rFonts w:ascii="Times New Roman" w:hAnsi="Times New Roman"/>
          <w:i/>
        </w:rPr>
        <w:t>biofuels</w:t>
      </w:r>
      <w:proofErr w:type="spellEnd"/>
      <w:r w:rsidRPr="004B458B">
        <w:rPr>
          <w:rFonts w:ascii="Times New Roman" w:hAnsi="Times New Roman"/>
        </w:rPr>
        <w:t xml:space="preserve">, który w 2030 r. powinien wynieść 3,5% całkowitego zużycia energii w transporcie. </w:t>
      </w:r>
      <w:r w:rsidRPr="004B458B">
        <w:rPr>
          <w:rFonts w:ascii="Times New Roman" w:hAnsi="Times New Roman"/>
          <w:b/>
          <w:bCs/>
        </w:rPr>
        <w:t xml:space="preserve">Zastosowanie </w:t>
      </w:r>
      <w:proofErr w:type="spellStart"/>
      <w:r w:rsidRPr="004B458B">
        <w:rPr>
          <w:rFonts w:ascii="Times New Roman" w:hAnsi="Times New Roman"/>
          <w:b/>
          <w:bCs/>
        </w:rPr>
        <w:t>biometanu</w:t>
      </w:r>
      <w:proofErr w:type="spellEnd"/>
      <w:r w:rsidRPr="004B458B">
        <w:rPr>
          <w:rFonts w:ascii="Times New Roman" w:hAnsi="Times New Roman"/>
          <w:b/>
          <w:bCs/>
        </w:rPr>
        <w:t xml:space="preserve"> do celów transportowych, istotnie zwiększa szansę realizacji celów OZE w transporcie.</w:t>
      </w:r>
    </w:p>
    <w:p w14:paraId="793968B2" w14:textId="3D568619"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Zaletą tego rozwiązania jest również fakt, że wykorzystanie </w:t>
      </w:r>
      <w:proofErr w:type="spellStart"/>
      <w:r w:rsidRPr="004B458B">
        <w:rPr>
          <w:rFonts w:ascii="Times New Roman" w:hAnsi="Times New Roman"/>
        </w:rPr>
        <w:t>biometanu</w:t>
      </w:r>
      <w:proofErr w:type="spellEnd"/>
      <w:r w:rsidRPr="004B458B">
        <w:rPr>
          <w:rFonts w:ascii="Times New Roman" w:hAnsi="Times New Roman"/>
        </w:rPr>
        <w:t xml:space="preserve"> daje możliwości zastosowania go do produkcji </w:t>
      </w:r>
      <w:proofErr w:type="spellStart"/>
      <w:r w:rsidRPr="004B458B">
        <w:rPr>
          <w:rFonts w:ascii="Times New Roman" w:hAnsi="Times New Roman"/>
        </w:rPr>
        <w:t>biowodoru</w:t>
      </w:r>
      <w:proofErr w:type="spellEnd"/>
      <w:r w:rsidRPr="004B458B">
        <w:rPr>
          <w:rFonts w:ascii="Times New Roman" w:hAnsi="Times New Roman"/>
        </w:rPr>
        <w:t xml:space="preserve"> w oparciu o proces reformingu parowego na instalacji, która obecnie jest zasilana gazem ziemnym. Wytworzony </w:t>
      </w:r>
      <w:proofErr w:type="spellStart"/>
      <w:r w:rsidRPr="004B458B">
        <w:rPr>
          <w:rFonts w:ascii="Times New Roman" w:hAnsi="Times New Roman"/>
        </w:rPr>
        <w:t>biowodór</w:t>
      </w:r>
      <w:proofErr w:type="spellEnd"/>
      <w:r w:rsidRPr="004B458B">
        <w:rPr>
          <w:rFonts w:ascii="Times New Roman" w:hAnsi="Times New Roman"/>
        </w:rPr>
        <w:t xml:space="preserve"> stosuje się następnie do procesów hydrorafinacji ropy naftowej, w ramach której powstają</w:t>
      </w:r>
      <w:r w:rsidR="00241769">
        <w:rPr>
          <w:rFonts w:ascii="Times New Roman" w:hAnsi="Times New Roman"/>
        </w:rPr>
        <w:t>,</w:t>
      </w:r>
      <w:r w:rsidRPr="004B458B">
        <w:rPr>
          <w:rFonts w:ascii="Times New Roman" w:hAnsi="Times New Roman"/>
        </w:rPr>
        <w:t xml:space="preserve"> m.in. paliwa ciekłe, tj. olej napędowy oraz benzyny silnikowe.</w:t>
      </w:r>
    </w:p>
    <w:p w14:paraId="2A7262CF"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Przyjęte rozwiązanie przede wszystkim nie wymaga konieczności ponoszenia nakładów na kosztowną infrastrukturę magazynową oraz dystrybucyjną dla potrzeb dostarczania </w:t>
      </w:r>
      <w:proofErr w:type="spellStart"/>
      <w:r w:rsidRPr="004B458B">
        <w:rPr>
          <w:rFonts w:ascii="Times New Roman" w:hAnsi="Times New Roman"/>
        </w:rPr>
        <w:t>biometanu</w:t>
      </w:r>
      <w:proofErr w:type="spellEnd"/>
      <w:r w:rsidRPr="004B458B">
        <w:rPr>
          <w:rFonts w:ascii="Times New Roman" w:hAnsi="Times New Roman"/>
        </w:rPr>
        <w:t xml:space="preserve"> konsumentom, niezbędną w przypadku stosowania go bezpośrednio w pojazdach drogowych, jako CNG lub LNG. Co więcej, nie ma również potrzeby rozbudowy czy też modernizacji istniejącej floty pojazdów mogących korzystać z </w:t>
      </w:r>
      <w:proofErr w:type="spellStart"/>
      <w:r w:rsidRPr="004B458B">
        <w:rPr>
          <w:rFonts w:ascii="Times New Roman" w:hAnsi="Times New Roman"/>
        </w:rPr>
        <w:t>biometanu</w:t>
      </w:r>
      <w:proofErr w:type="spellEnd"/>
      <w:r w:rsidRPr="004B458B">
        <w:rPr>
          <w:rFonts w:ascii="Times New Roman" w:hAnsi="Times New Roman"/>
        </w:rPr>
        <w:t>, ponieważ wytworzone w ten sposób biokomponenty zawarte w paliwie ciekłym w praktyce w żaden sposób nie wpływają na zmianę parametrów jakościowych produktu końcowego.</w:t>
      </w:r>
    </w:p>
    <w:p w14:paraId="014579A4" w14:textId="77777777" w:rsidR="001C24CF" w:rsidRPr="004B458B" w:rsidRDefault="001C24CF" w:rsidP="001C24CF">
      <w:pPr>
        <w:spacing w:before="120" w:after="120"/>
        <w:ind w:left="567"/>
        <w:jc w:val="both"/>
        <w:rPr>
          <w:rFonts w:ascii="Times New Roman" w:hAnsi="Times New Roman"/>
        </w:rPr>
      </w:pPr>
      <w:r w:rsidRPr="004B458B">
        <w:rPr>
          <w:rFonts w:ascii="Times New Roman" w:hAnsi="Times New Roman"/>
        </w:rPr>
        <w:t xml:space="preserve">Jest to więc rozwiązanie efektywne kosztowo z punktu widzenia podmiotów realizujących NCW, ponieważ odbiór </w:t>
      </w:r>
      <w:proofErr w:type="spellStart"/>
      <w:r w:rsidRPr="004B458B">
        <w:rPr>
          <w:rFonts w:ascii="Times New Roman" w:hAnsi="Times New Roman"/>
        </w:rPr>
        <w:t>biometanu</w:t>
      </w:r>
      <w:proofErr w:type="spellEnd"/>
      <w:r w:rsidRPr="004B458B">
        <w:rPr>
          <w:rFonts w:ascii="Times New Roman" w:hAnsi="Times New Roman"/>
        </w:rPr>
        <w:t xml:space="preserve"> z sieci gazowej i skierowanie go na instalację produkcji wodoru ogranicza koszty jakie należałoby ponieść na rozbudowę infrastruktury paliwowej w kontekście dodawania innych rodzajów biokomponentów (HVO, itp.) oraz wydatki na import </w:t>
      </w:r>
      <w:proofErr w:type="spellStart"/>
      <w:r w:rsidRPr="004B458B">
        <w:rPr>
          <w:rFonts w:ascii="Times New Roman" w:hAnsi="Times New Roman"/>
          <w:i/>
        </w:rPr>
        <w:t>advanced</w:t>
      </w:r>
      <w:proofErr w:type="spellEnd"/>
      <w:r w:rsidRPr="004B458B">
        <w:rPr>
          <w:rFonts w:ascii="Times New Roman" w:hAnsi="Times New Roman"/>
          <w:i/>
        </w:rPr>
        <w:t xml:space="preserve"> </w:t>
      </w:r>
      <w:proofErr w:type="spellStart"/>
      <w:r w:rsidRPr="004B458B">
        <w:rPr>
          <w:rFonts w:ascii="Times New Roman" w:hAnsi="Times New Roman"/>
          <w:i/>
        </w:rPr>
        <w:t>biofuels</w:t>
      </w:r>
      <w:proofErr w:type="spellEnd"/>
      <w:r w:rsidRPr="004B458B">
        <w:rPr>
          <w:rFonts w:ascii="Times New Roman" w:hAnsi="Times New Roman"/>
        </w:rPr>
        <w:t>.</w:t>
      </w:r>
    </w:p>
    <w:p w14:paraId="61584545" w14:textId="77777777" w:rsidR="001C24CF" w:rsidRPr="004B458B" w:rsidRDefault="001C24CF" w:rsidP="001C24CF">
      <w:pPr>
        <w:spacing w:before="120" w:after="120"/>
        <w:ind w:left="567"/>
        <w:jc w:val="both"/>
        <w:rPr>
          <w:rFonts w:ascii="Times New Roman" w:hAnsi="Times New Roman"/>
          <w:b/>
        </w:rPr>
      </w:pPr>
      <w:r w:rsidRPr="004B458B">
        <w:rPr>
          <w:rFonts w:ascii="Times New Roman" w:hAnsi="Times New Roman"/>
        </w:rPr>
        <w:t>Wszystkie instalacje produkujące paliwa ciekłe w PKN Orlen S.A. oraz Lotos SA mogą korzystać z tego rozwiązania, łączne zapotrzebowanie szacuje się na poziomie 600-700 mln m</w:t>
      </w:r>
      <w:r w:rsidRPr="004B458B">
        <w:rPr>
          <w:rFonts w:ascii="Times New Roman" w:hAnsi="Times New Roman"/>
          <w:vertAlign w:val="superscript"/>
        </w:rPr>
        <w:t>3</w:t>
      </w:r>
      <w:r w:rsidRPr="004B458B">
        <w:rPr>
          <w:rFonts w:ascii="Times New Roman" w:hAnsi="Times New Roman"/>
        </w:rPr>
        <w:t xml:space="preserve"> rocznie.</w:t>
      </w:r>
      <w:r w:rsidRPr="004B458B">
        <w:rPr>
          <w:rFonts w:ascii="Times New Roman" w:hAnsi="Times New Roman"/>
          <w:b/>
        </w:rPr>
        <w:t xml:space="preserve"> </w:t>
      </w:r>
    </w:p>
    <w:p w14:paraId="529B5011" w14:textId="77777777" w:rsidR="001C24CF" w:rsidRPr="004B458B" w:rsidRDefault="001C24CF" w:rsidP="001C24CF">
      <w:pPr>
        <w:pStyle w:val="Akapitzlist"/>
        <w:numPr>
          <w:ilvl w:val="0"/>
          <w:numId w:val="165"/>
        </w:numPr>
        <w:spacing w:before="120" w:after="160" w:line="259" w:lineRule="auto"/>
        <w:jc w:val="both"/>
        <w:rPr>
          <w:rFonts w:ascii="Times New Roman" w:hAnsi="Times New Roman"/>
          <w:b/>
        </w:rPr>
      </w:pPr>
      <w:r w:rsidRPr="004B458B">
        <w:rPr>
          <w:rFonts w:ascii="Times New Roman" w:hAnsi="Times New Roman"/>
          <w:b/>
        </w:rPr>
        <w:t>Impuls do rozwoju lokalnych rynków energii i gazu</w:t>
      </w:r>
    </w:p>
    <w:p w14:paraId="2B5B7EC8" w14:textId="77777777" w:rsidR="001C24CF" w:rsidRPr="004B458B" w:rsidRDefault="001C24CF" w:rsidP="001C24CF">
      <w:pPr>
        <w:pStyle w:val="Akapitzlist"/>
        <w:spacing w:before="120" w:after="80"/>
        <w:ind w:left="567"/>
        <w:contextualSpacing w:val="0"/>
        <w:jc w:val="both"/>
        <w:rPr>
          <w:rFonts w:ascii="Times New Roman" w:hAnsi="Times New Roman"/>
        </w:rPr>
      </w:pPr>
      <w:r w:rsidRPr="004B458B">
        <w:rPr>
          <w:rFonts w:ascii="Times New Roman" w:hAnsi="Times New Roman"/>
        </w:rPr>
        <w:t xml:space="preserve">Biogazownie rolnicze funkcjonują przede wszystkim na terenach wiejskich, gdzie infrastruktura elektroenergetyczna znajduje się w pogorszonym stanie technicznym (np. stare stacje transformatorowe, </w:t>
      </w:r>
      <w:r w:rsidRPr="004B458B">
        <w:rPr>
          <w:rFonts w:ascii="Times New Roman" w:hAnsi="Times New Roman"/>
        </w:rPr>
        <w:lastRenderedPageBreak/>
        <w:t xml:space="preserve">końcówki sieci, itp.) oraz występują braki dostępu do sieci gazowych, a głównym źródeł ciepła są wciąż domowe piece węglowe. Często są to również tereny popegeerowskie o wysokim bezrobociu strukturalnym. </w:t>
      </w:r>
    </w:p>
    <w:p w14:paraId="701B99FE" w14:textId="1B7C6C20" w:rsidR="00B625F1" w:rsidRPr="004B458B" w:rsidRDefault="001C24CF" w:rsidP="001C24CF">
      <w:pPr>
        <w:pStyle w:val="Akapitzlist"/>
        <w:spacing w:before="120" w:after="80"/>
        <w:ind w:left="567"/>
        <w:contextualSpacing w:val="0"/>
        <w:jc w:val="both"/>
        <w:rPr>
          <w:rFonts w:ascii="Times New Roman" w:hAnsi="Times New Roman"/>
        </w:rPr>
      </w:pPr>
      <w:r w:rsidRPr="004B458B">
        <w:rPr>
          <w:rFonts w:ascii="Times New Roman" w:hAnsi="Times New Roman"/>
        </w:rPr>
        <w:t>Powstawanie biogazowni na tego typu terenach poprawi przede wszystkim infrastrukturę techniczną, wpływającą na jakość życia, dając impuls do tworzenia lokalnego rynku energii, np. poprzez tworzenie spółdzielni energetycznych, klastrów energii, które w zamierzeniach, dla poprawy lokalnej infrastruktury miały przejmować końcówki sieci celem budowania spójnego modelu energetycznego. Dzięki takim rozwiązaniom okoliczni mieszkańcy zyskują dostęp do ekologicznych źródeł energii elektrycznej, cieplnej oraz gazowej.</w:t>
      </w:r>
    </w:p>
    <w:p w14:paraId="386E6DE1" w14:textId="77777777" w:rsidR="00B625F1" w:rsidRDefault="00B625F1">
      <w:pPr>
        <w:spacing w:line="240" w:lineRule="auto"/>
        <w:rPr>
          <w:rFonts w:ascii="Times New Roman" w:hAnsi="Times New Roman"/>
          <w:sz w:val="24"/>
          <w:szCs w:val="24"/>
        </w:rPr>
      </w:pPr>
      <w:r>
        <w:rPr>
          <w:rFonts w:ascii="Times New Roman" w:hAnsi="Times New Roman"/>
          <w:sz w:val="24"/>
          <w:szCs w:val="24"/>
        </w:rPr>
        <w:br w:type="page"/>
      </w:r>
    </w:p>
    <w:p w14:paraId="04DA8F91" w14:textId="77777777" w:rsidR="00214A30" w:rsidRDefault="00214A30" w:rsidP="00B625F1">
      <w:pPr>
        <w:spacing w:line="240" w:lineRule="auto"/>
        <w:jc w:val="both"/>
        <w:rPr>
          <w:rFonts w:ascii="Times New Roman" w:hAnsi="Times New Roman"/>
          <w:color w:val="000000"/>
          <w:spacing w:val="-2"/>
        </w:rPr>
        <w:sectPr w:rsidR="00214A30" w:rsidSect="00725DE7">
          <w:pgSz w:w="11906" w:h="16838"/>
          <w:pgMar w:top="568" w:right="707" w:bottom="568" w:left="720" w:header="708" w:footer="290" w:gutter="0"/>
          <w:cols w:space="708"/>
          <w:docGrid w:linePitch="360"/>
        </w:sectPr>
      </w:pPr>
    </w:p>
    <w:p w14:paraId="1A95C17F" w14:textId="52836B49" w:rsidR="00B625F1" w:rsidRPr="004B458B" w:rsidRDefault="00B625F1" w:rsidP="00B625F1">
      <w:pPr>
        <w:spacing w:line="240" w:lineRule="auto"/>
        <w:jc w:val="both"/>
        <w:rPr>
          <w:rFonts w:ascii="Times New Roman" w:hAnsi="Times New Roman"/>
          <w:b/>
          <w:bCs/>
          <w:color w:val="000000"/>
          <w:spacing w:val="-2"/>
        </w:rPr>
      </w:pPr>
      <w:r w:rsidRPr="004B458B">
        <w:rPr>
          <w:rFonts w:ascii="Times New Roman" w:hAnsi="Times New Roman"/>
          <w:b/>
          <w:bCs/>
          <w:color w:val="000000"/>
          <w:spacing w:val="-2"/>
        </w:rPr>
        <w:lastRenderedPageBreak/>
        <w:t xml:space="preserve">Załącznik nr 2 – Założenia systemu modernizacji i wsparcia </w:t>
      </w:r>
      <w:r w:rsidR="00012E65">
        <w:rPr>
          <w:rFonts w:ascii="Times New Roman" w:hAnsi="Times New Roman"/>
          <w:b/>
          <w:bCs/>
          <w:color w:val="000000"/>
          <w:spacing w:val="-2"/>
        </w:rPr>
        <w:t>operacyjnego</w:t>
      </w:r>
    </w:p>
    <w:p w14:paraId="53302CA3" w14:textId="5DEAFD70" w:rsidR="00B625F1" w:rsidRDefault="00B625F1" w:rsidP="00B625F1">
      <w:pPr>
        <w:spacing w:line="240" w:lineRule="auto"/>
        <w:jc w:val="both"/>
        <w:rPr>
          <w:rFonts w:ascii="Times New Roman" w:hAnsi="Times New Roman"/>
          <w:color w:val="000000"/>
          <w:spacing w:val="-2"/>
        </w:rPr>
      </w:pPr>
    </w:p>
    <w:tbl>
      <w:tblPr>
        <w:tblStyle w:val="Tabelasiatki5ciemnaakcent3"/>
        <w:tblW w:w="9926" w:type="dxa"/>
        <w:tblLook w:val="04A0" w:firstRow="1" w:lastRow="0" w:firstColumn="1" w:lastColumn="0" w:noHBand="0" w:noVBand="1"/>
      </w:tblPr>
      <w:tblGrid>
        <w:gridCol w:w="2247"/>
        <w:gridCol w:w="1200"/>
        <w:gridCol w:w="1669"/>
        <w:gridCol w:w="1550"/>
        <w:gridCol w:w="1673"/>
        <w:gridCol w:w="1587"/>
      </w:tblGrid>
      <w:tr w:rsidR="000F7BD6" w:rsidRPr="000F7BD6" w14:paraId="1E2B5948" w14:textId="77777777" w:rsidTr="009E1D33">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214731B5" w14:textId="77777777" w:rsidR="000F7BD6" w:rsidRPr="000F7BD6" w:rsidRDefault="000F7BD6" w:rsidP="00395630">
            <w:pPr>
              <w:spacing w:line="240" w:lineRule="auto"/>
              <w:jc w:val="center"/>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Wyszczególnienie</w:t>
            </w:r>
          </w:p>
        </w:tc>
        <w:tc>
          <w:tcPr>
            <w:tcW w:w="1200" w:type="dxa"/>
            <w:vAlign w:val="center"/>
            <w:hideMark/>
          </w:tcPr>
          <w:p w14:paraId="434AA9F8"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Jednostka</w:t>
            </w:r>
          </w:p>
        </w:tc>
        <w:tc>
          <w:tcPr>
            <w:tcW w:w="1669" w:type="dxa"/>
            <w:vAlign w:val="center"/>
            <w:hideMark/>
          </w:tcPr>
          <w:p w14:paraId="2267784C"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Biogaz</w:t>
            </w:r>
          </w:p>
        </w:tc>
        <w:tc>
          <w:tcPr>
            <w:tcW w:w="1550" w:type="dxa"/>
            <w:vAlign w:val="center"/>
            <w:hideMark/>
          </w:tcPr>
          <w:p w14:paraId="767EAFFB"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Biomasa</w:t>
            </w:r>
          </w:p>
        </w:tc>
        <w:tc>
          <w:tcPr>
            <w:tcW w:w="1673" w:type="dxa"/>
            <w:vAlign w:val="center"/>
            <w:hideMark/>
          </w:tcPr>
          <w:p w14:paraId="75322F1C" w14:textId="2272B3D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Hydro</w:t>
            </w:r>
            <w:r w:rsidR="00841FD9">
              <w:rPr>
                <w:rFonts w:ascii="Times New Roman" w:eastAsia="Times New Roman" w:hAnsi="Times New Roman"/>
                <w:color w:val="000000"/>
                <w:sz w:val="20"/>
                <w:szCs w:val="20"/>
                <w:lang w:eastAsia="pl-PL"/>
              </w:rPr>
              <w:t>energia</w:t>
            </w:r>
            <w:r w:rsidRPr="000F7BD6">
              <w:rPr>
                <w:rFonts w:ascii="Times New Roman" w:eastAsia="Times New Roman" w:hAnsi="Times New Roman"/>
                <w:color w:val="000000"/>
                <w:sz w:val="20"/>
                <w:szCs w:val="20"/>
                <w:lang w:eastAsia="pl-PL"/>
              </w:rPr>
              <w:t xml:space="preserve"> </w:t>
            </w:r>
            <w:r w:rsidRPr="000F7BD6">
              <w:rPr>
                <w:rFonts w:ascii="Times New Roman" w:eastAsia="Times New Roman" w:hAnsi="Times New Roman"/>
                <w:color w:val="000000"/>
                <w:sz w:val="20"/>
                <w:szCs w:val="20"/>
                <w:lang w:eastAsia="pl-PL"/>
              </w:rPr>
              <w:br/>
            </w:r>
            <w:r w:rsidRPr="000F7BD6">
              <w:rPr>
                <w:rFonts w:ascii="Times New Roman" w:eastAsia="Times New Roman" w:hAnsi="Times New Roman"/>
                <w:b w:val="0"/>
                <w:bCs w:val="0"/>
                <w:color w:val="000000"/>
                <w:sz w:val="20"/>
                <w:szCs w:val="20"/>
                <w:lang w:eastAsia="pl-PL"/>
              </w:rPr>
              <w:t>(nie uwzględniano jednostek większych niż 5 MW)</w:t>
            </w:r>
          </w:p>
        </w:tc>
        <w:tc>
          <w:tcPr>
            <w:tcW w:w="1587" w:type="dxa"/>
            <w:vAlign w:val="center"/>
            <w:hideMark/>
          </w:tcPr>
          <w:p w14:paraId="214639FD" w14:textId="77777777" w:rsidR="000F7BD6" w:rsidRPr="000F7BD6" w:rsidRDefault="000F7BD6" w:rsidP="0039563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UWAGI</w:t>
            </w:r>
          </w:p>
        </w:tc>
      </w:tr>
      <w:tr w:rsidR="000F7BD6" w:rsidRPr="000F7BD6" w14:paraId="3347E99C" w14:textId="77777777" w:rsidTr="009E1D33">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00CE5BE" w14:textId="0B14E3F0" w:rsidR="000F7BD6" w:rsidRPr="000F7BD6" w:rsidRDefault="000F7BD6"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Procentowy udział instalacji wg. mocy</w:t>
            </w:r>
            <w:r w:rsidR="00957D26">
              <w:rPr>
                <w:rFonts w:ascii="Times New Roman" w:eastAsia="Times New Roman" w:hAnsi="Times New Roman"/>
                <w:color w:val="000000"/>
                <w:sz w:val="20"/>
                <w:szCs w:val="20"/>
                <w:lang w:eastAsia="pl-PL"/>
              </w:rPr>
              <w:t xml:space="preserve"> wychodzącej z systemu wsparcia</w:t>
            </w:r>
          </w:p>
        </w:tc>
        <w:tc>
          <w:tcPr>
            <w:tcW w:w="1200" w:type="dxa"/>
            <w:vAlign w:val="center"/>
            <w:hideMark/>
          </w:tcPr>
          <w:p w14:paraId="09D6618D"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MW, %</w:t>
            </w:r>
          </w:p>
        </w:tc>
        <w:tc>
          <w:tcPr>
            <w:tcW w:w="1669" w:type="dxa"/>
            <w:vAlign w:val="center"/>
            <w:hideMark/>
          </w:tcPr>
          <w:p w14:paraId="00690232"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&lt;0,5MW- 16,96</w:t>
            </w:r>
            <w:r w:rsidRPr="000F7BD6">
              <w:rPr>
                <w:rFonts w:ascii="Times New Roman" w:eastAsia="Times New Roman" w:hAnsi="Times New Roman"/>
                <w:color w:val="000000"/>
                <w:sz w:val="20"/>
                <w:szCs w:val="20"/>
                <w:lang w:eastAsia="pl-PL"/>
              </w:rPr>
              <w:br/>
              <w:t>0,5-1MW - 35,26%</w:t>
            </w:r>
            <w:r w:rsidRPr="000F7BD6">
              <w:rPr>
                <w:rFonts w:ascii="Times New Roman" w:eastAsia="Times New Roman" w:hAnsi="Times New Roman"/>
                <w:color w:val="000000"/>
                <w:sz w:val="20"/>
                <w:szCs w:val="20"/>
                <w:lang w:eastAsia="pl-PL"/>
              </w:rPr>
              <w:br/>
              <w:t>&gt;1MW - 48.04%</w:t>
            </w:r>
          </w:p>
        </w:tc>
        <w:tc>
          <w:tcPr>
            <w:tcW w:w="1550" w:type="dxa"/>
            <w:vAlign w:val="center"/>
            <w:hideMark/>
          </w:tcPr>
          <w:p w14:paraId="5785DA20" w14:textId="77777777"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- 0,04%</w:t>
            </w:r>
            <w:r w:rsidRPr="000F7BD6">
              <w:rPr>
                <w:rFonts w:ascii="Times New Roman" w:eastAsia="Times New Roman" w:hAnsi="Times New Roman"/>
                <w:color w:val="000000"/>
                <w:sz w:val="20"/>
                <w:szCs w:val="20"/>
                <w:lang w:eastAsia="pl-PL"/>
              </w:rPr>
              <w:br/>
              <w:t>0,5-1MW - 0,26%</w:t>
            </w:r>
            <w:r w:rsidRPr="000F7BD6">
              <w:rPr>
                <w:rFonts w:ascii="Times New Roman" w:eastAsia="Times New Roman" w:hAnsi="Times New Roman"/>
                <w:color w:val="000000"/>
                <w:sz w:val="20"/>
                <w:szCs w:val="20"/>
                <w:lang w:eastAsia="pl-PL"/>
              </w:rPr>
              <w:br/>
              <w:t>&gt;1MW - 99,7%</w:t>
            </w:r>
          </w:p>
        </w:tc>
        <w:tc>
          <w:tcPr>
            <w:tcW w:w="1673" w:type="dxa"/>
            <w:vAlign w:val="center"/>
            <w:hideMark/>
          </w:tcPr>
          <w:p w14:paraId="450DDA7B" w14:textId="0F4CD135" w:rsidR="000F7BD6" w:rsidRPr="000F7BD6" w:rsidRDefault="000F7BD6"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&lt;0,5MW - 6,17%</w:t>
            </w:r>
            <w:r w:rsidR="004C0172">
              <w:rPr>
                <w:rFonts w:ascii="Times New Roman" w:eastAsia="Times New Roman" w:hAnsi="Times New Roman"/>
                <w:color w:val="000000"/>
                <w:sz w:val="20"/>
                <w:szCs w:val="20"/>
                <w:lang w:eastAsia="pl-PL"/>
              </w:rPr>
              <w:t xml:space="preserve"> </w:t>
            </w:r>
            <w:r w:rsidRPr="000F7BD6">
              <w:rPr>
                <w:rFonts w:ascii="Times New Roman" w:eastAsia="Times New Roman" w:hAnsi="Times New Roman"/>
                <w:color w:val="000000"/>
                <w:sz w:val="20"/>
                <w:szCs w:val="20"/>
                <w:lang w:eastAsia="pl-PL"/>
              </w:rPr>
              <w:br/>
              <w:t>0,5-1MW - 4,46%</w:t>
            </w:r>
            <w:r w:rsidRPr="000F7BD6">
              <w:rPr>
                <w:rFonts w:ascii="Times New Roman" w:eastAsia="Times New Roman" w:hAnsi="Times New Roman"/>
                <w:color w:val="000000"/>
                <w:sz w:val="20"/>
                <w:szCs w:val="20"/>
                <w:lang w:eastAsia="pl-PL"/>
              </w:rPr>
              <w:br/>
              <w:t>1MW-5MW- 15,55%</w:t>
            </w:r>
          </w:p>
        </w:tc>
        <w:tc>
          <w:tcPr>
            <w:tcW w:w="1587" w:type="dxa"/>
            <w:hideMark/>
          </w:tcPr>
          <w:p w14:paraId="3F838311" w14:textId="221C6259" w:rsidR="000F7BD6" w:rsidRPr="000F7BD6" w:rsidRDefault="00957D26" w:rsidP="000F7B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i/>
                <w:iCs/>
                <w:color w:val="000000"/>
                <w:sz w:val="20"/>
                <w:szCs w:val="20"/>
                <w:lang w:eastAsia="pl-PL"/>
              </w:rPr>
              <w:t>Wg danych URE za 2020 rok</w:t>
            </w:r>
            <w:r>
              <w:rPr>
                <w:rFonts w:ascii="Times New Roman" w:eastAsia="Times New Roman" w:hAnsi="Times New Roman"/>
                <w:color w:val="000000"/>
                <w:sz w:val="20"/>
                <w:szCs w:val="20"/>
                <w:lang w:eastAsia="pl-PL"/>
              </w:rPr>
              <w:t xml:space="preserve"> </w:t>
            </w:r>
          </w:p>
        </w:tc>
      </w:tr>
      <w:tr w:rsidR="00E23181" w:rsidRPr="000F7BD6" w14:paraId="04C28BE4" w14:textId="77777777" w:rsidTr="009E1D33">
        <w:trPr>
          <w:trHeight w:val="30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839860B"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Wydajność instalacji</w:t>
            </w:r>
          </w:p>
        </w:tc>
        <w:tc>
          <w:tcPr>
            <w:tcW w:w="1200" w:type="dxa"/>
            <w:vAlign w:val="center"/>
            <w:hideMark/>
          </w:tcPr>
          <w:p w14:paraId="11D8346F"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h/rok</w:t>
            </w:r>
          </w:p>
        </w:tc>
        <w:tc>
          <w:tcPr>
            <w:tcW w:w="1669" w:type="dxa"/>
            <w:vAlign w:val="center"/>
            <w:hideMark/>
          </w:tcPr>
          <w:p w14:paraId="2E603109"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7700</w:t>
            </w:r>
          </w:p>
        </w:tc>
        <w:tc>
          <w:tcPr>
            <w:tcW w:w="1550" w:type="dxa"/>
            <w:vAlign w:val="center"/>
            <w:hideMark/>
          </w:tcPr>
          <w:p w14:paraId="3B45EE47"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7000</w:t>
            </w:r>
          </w:p>
        </w:tc>
        <w:tc>
          <w:tcPr>
            <w:tcW w:w="1673" w:type="dxa"/>
            <w:vAlign w:val="center"/>
            <w:hideMark/>
          </w:tcPr>
          <w:p w14:paraId="04D2E2A1"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4800-5600</w:t>
            </w:r>
          </w:p>
        </w:tc>
        <w:tc>
          <w:tcPr>
            <w:tcW w:w="1587" w:type="dxa"/>
            <w:vMerge w:val="restart"/>
            <w:vAlign w:val="center"/>
            <w:hideMark/>
          </w:tcPr>
          <w:p w14:paraId="45155CEB" w14:textId="77777777" w:rsidR="00E23181" w:rsidRPr="000F7BD6" w:rsidRDefault="00E23181" w:rsidP="00E2318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Wyliczenia własne</w:t>
            </w:r>
            <w:r w:rsidRPr="000F7BD6">
              <w:rPr>
                <w:rFonts w:ascii="Times New Roman" w:eastAsia="Times New Roman" w:hAnsi="Times New Roman"/>
                <w:i/>
                <w:iCs/>
                <w:color w:val="000000"/>
                <w:sz w:val="20"/>
                <w:szCs w:val="20"/>
                <w:lang w:eastAsia="pl-PL"/>
              </w:rPr>
              <w:br/>
              <w:t>Biogaz: przyjęte stawki dla biogazu rolniczego z CHP</w:t>
            </w:r>
            <w:r w:rsidRPr="000F7BD6">
              <w:rPr>
                <w:rFonts w:ascii="Times New Roman" w:eastAsia="Times New Roman" w:hAnsi="Times New Roman"/>
                <w:i/>
                <w:iCs/>
                <w:color w:val="000000"/>
                <w:sz w:val="20"/>
                <w:szCs w:val="20"/>
                <w:lang w:eastAsia="pl-PL"/>
              </w:rPr>
              <w:br/>
              <w:t>Biomasa: przyjęte stawki dla instalacji &lt;50MW z CHP</w:t>
            </w:r>
          </w:p>
          <w:p w14:paraId="294CDCE2" w14:textId="5F9A8719" w:rsidR="00E23181" w:rsidRPr="000F7BD6" w:rsidRDefault="00E23181" w:rsidP="00E2318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i/>
                <w:iCs/>
                <w:color w:val="000000"/>
                <w:sz w:val="20"/>
                <w:szCs w:val="20"/>
                <w:lang w:eastAsia="pl-PL"/>
              </w:rPr>
              <w:t>Wyliczenia własne</w:t>
            </w:r>
            <w:r w:rsidRPr="000F7BD6">
              <w:rPr>
                <w:rFonts w:ascii="Times New Roman" w:eastAsia="Times New Roman" w:hAnsi="Times New Roman"/>
                <w:i/>
                <w:iCs/>
                <w:color w:val="000000"/>
                <w:sz w:val="20"/>
                <w:szCs w:val="20"/>
                <w:lang w:eastAsia="pl-PL"/>
              </w:rPr>
              <w:br/>
              <w:t>Biogaz: przyjęte stawki dla biogazu rolniczego z CHP</w:t>
            </w:r>
            <w:r w:rsidRPr="000F7BD6">
              <w:rPr>
                <w:rFonts w:ascii="Times New Roman" w:eastAsia="Times New Roman" w:hAnsi="Times New Roman"/>
                <w:i/>
                <w:iCs/>
                <w:color w:val="000000"/>
                <w:sz w:val="20"/>
                <w:szCs w:val="20"/>
                <w:lang w:eastAsia="pl-PL"/>
              </w:rPr>
              <w:br/>
              <w:t>Biomasa: przyjęte stawki dla instalacji &lt;50MW z CHP</w:t>
            </w:r>
          </w:p>
        </w:tc>
      </w:tr>
      <w:tr w:rsidR="00E23181" w:rsidRPr="000F7BD6" w14:paraId="291FA26E" w14:textId="77777777" w:rsidTr="009E1D33">
        <w:trPr>
          <w:cnfStyle w:val="000000100000" w:firstRow="0" w:lastRow="0" w:firstColumn="0" w:lastColumn="0" w:oddVBand="0" w:evenVBand="0" w:oddHBand="1" w:evenHBand="0" w:firstRowFirstColumn="0" w:firstRowLastColumn="0" w:lastRowFirstColumn="0" w:lastRowLastColumn="0"/>
          <w:trHeight w:val="1784"/>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481411E3"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Cena referencyjna przy modernizacji instalacji w latach 2020-2021</w:t>
            </w:r>
          </w:p>
        </w:tc>
        <w:tc>
          <w:tcPr>
            <w:tcW w:w="1200" w:type="dxa"/>
            <w:vAlign w:val="center"/>
            <w:hideMark/>
          </w:tcPr>
          <w:p w14:paraId="44FF14BF" w14:textId="77777777"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PLN/MWh</w:t>
            </w:r>
          </w:p>
        </w:tc>
        <w:tc>
          <w:tcPr>
            <w:tcW w:w="1669" w:type="dxa"/>
            <w:vAlign w:val="center"/>
            <w:hideMark/>
          </w:tcPr>
          <w:p w14:paraId="08CBB0B7" w14:textId="006E0F68"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670-760</w:t>
            </w:r>
            <w:r>
              <w:rPr>
                <w:rFonts w:ascii="Times New Roman" w:eastAsia="Times New Roman" w:hAnsi="Times New Roman"/>
                <w:color w:val="000000"/>
                <w:sz w:val="20"/>
                <w:szCs w:val="20"/>
                <w:lang w:eastAsia="pl-PL"/>
              </w:rPr>
              <w:t xml:space="preserve"> zł</w:t>
            </w:r>
          </w:p>
        </w:tc>
        <w:tc>
          <w:tcPr>
            <w:tcW w:w="1550" w:type="dxa"/>
            <w:vAlign w:val="center"/>
            <w:hideMark/>
          </w:tcPr>
          <w:p w14:paraId="09472158" w14:textId="1951B238"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490,00 zł</w:t>
            </w:r>
          </w:p>
        </w:tc>
        <w:tc>
          <w:tcPr>
            <w:tcW w:w="1673" w:type="dxa"/>
            <w:vAlign w:val="center"/>
            <w:hideMark/>
          </w:tcPr>
          <w:p w14:paraId="08D6DDAD" w14:textId="6E2ED2FA" w:rsidR="00E23181" w:rsidRPr="000F7BD6" w:rsidRDefault="00E23181"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550-640</w:t>
            </w:r>
            <w:r>
              <w:rPr>
                <w:rFonts w:ascii="Times New Roman" w:eastAsia="Times New Roman" w:hAnsi="Times New Roman"/>
                <w:color w:val="000000"/>
                <w:sz w:val="20"/>
                <w:szCs w:val="20"/>
                <w:lang w:eastAsia="pl-PL"/>
              </w:rPr>
              <w:t xml:space="preserve"> zł</w:t>
            </w:r>
          </w:p>
        </w:tc>
        <w:tc>
          <w:tcPr>
            <w:tcW w:w="1587" w:type="dxa"/>
            <w:vMerge/>
            <w:vAlign w:val="center"/>
            <w:hideMark/>
          </w:tcPr>
          <w:p w14:paraId="3602EBDF" w14:textId="43161678" w:rsidR="00E23181" w:rsidRPr="000F7BD6" w:rsidRDefault="00E23181"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p>
        </w:tc>
      </w:tr>
      <w:tr w:rsidR="00E23181" w:rsidRPr="000F7BD6" w14:paraId="41EF0EC0" w14:textId="77777777" w:rsidTr="009E1D33">
        <w:trPr>
          <w:trHeight w:val="175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DA71653" w14:textId="77777777" w:rsidR="00E23181" w:rsidRPr="000F7BD6" w:rsidRDefault="00E23181"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CAPEX</w:t>
            </w:r>
          </w:p>
        </w:tc>
        <w:tc>
          <w:tcPr>
            <w:tcW w:w="1200" w:type="dxa"/>
            <w:vAlign w:val="center"/>
            <w:hideMark/>
          </w:tcPr>
          <w:p w14:paraId="4E10491D" w14:textId="77777777"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w:t>
            </w:r>
          </w:p>
        </w:tc>
        <w:tc>
          <w:tcPr>
            <w:tcW w:w="1669" w:type="dxa"/>
            <w:vAlign w:val="center"/>
            <w:hideMark/>
          </w:tcPr>
          <w:p w14:paraId="235EA549" w14:textId="35C564AE"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&lt;0,5MW</w:t>
            </w:r>
            <w:r w:rsidR="006C01DB">
              <w:rPr>
                <w:rFonts w:ascii="Times New Roman" w:eastAsia="Times New Roman" w:hAnsi="Times New Roman"/>
                <w:color w:val="000000"/>
                <w:sz w:val="20"/>
                <w:szCs w:val="20"/>
                <w:lang w:eastAsia="pl-PL"/>
              </w:rPr>
              <w:t xml:space="preserve"> –</w:t>
            </w:r>
            <w:r w:rsidRPr="00E6242D">
              <w:rPr>
                <w:rFonts w:ascii="Times New Roman" w:eastAsia="Times New Roman" w:hAnsi="Times New Roman"/>
                <w:color w:val="000000"/>
                <w:sz w:val="20"/>
                <w:szCs w:val="20"/>
                <w:lang w:eastAsia="pl-PL"/>
              </w:rPr>
              <w:t xml:space="preserve"> </w:t>
            </w:r>
          </w:p>
          <w:p w14:paraId="2763F9AB" w14:textId="17BF5CFA"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20 000 000,00 zł</w:t>
            </w:r>
          </w:p>
          <w:p w14:paraId="4C2DE402"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0,5-1MW – </w:t>
            </w:r>
          </w:p>
          <w:p w14:paraId="416DCAC5" w14:textId="70B433A3"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17 500 000,00 zł</w:t>
            </w:r>
          </w:p>
          <w:p w14:paraId="2FF4DDD5"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&gt;1MW – </w:t>
            </w:r>
          </w:p>
          <w:p w14:paraId="61D1CB01" w14:textId="1790FADE" w:rsidR="00E23181" w:rsidRPr="000F7BD6"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15 300 000,00 zł</w:t>
            </w:r>
            <w:r>
              <w:rPr>
                <w:rFonts w:ascii="Times New Roman" w:eastAsia="Times New Roman" w:hAnsi="Times New Roman"/>
                <w:color w:val="000000"/>
                <w:sz w:val="20"/>
                <w:szCs w:val="20"/>
                <w:lang w:eastAsia="pl-PL"/>
              </w:rPr>
              <w:t xml:space="preserve"> </w:t>
            </w:r>
          </w:p>
        </w:tc>
        <w:tc>
          <w:tcPr>
            <w:tcW w:w="1550" w:type="dxa"/>
            <w:vAlign w:val="center"/>
            <w:hideMark/>
          </w:tcPr>
          <w:p w14:paraId="4865CDAA" w14:textId="0E5612BE" w:rsidR="00E23181" w:rsidRPr="000F7BD6" w:rsidRDefault="00E23181"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13 000 000,00 zł</w:t>
            </w:r>
          </w:p>
        </w:tc>
        <w:tc>
          <w:tcPr>
            <w:tcW w:w="1673" w:type="dxa"/>
            <w:vAlign w:val="center"/>
            <w:hideMark/>
          </w:tcPr>
          <w:p w14:paraId="6E77A93E"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&lt;0,5MW- </w:t>
            </w:r>
          </w:p>
          <w:p w14:paraId="0D31308D" w14:textId="5FEEFD48"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20 000 000,00 zł</w:t>
            </w:r>
          </w:p>
          <w:p w14:paraId="67BD74F1"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0,5-1MW – </w:t>
            </w:r>
          </w:p>
          <w:p w14:paraId="332040CE" w14:textId="7FA4938D" w:rsidR="00E6242D" w:rsidRPr="00E6242D"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21 700 000,00 zł</w:t>
            </w:r>
          </w:p>
          <w:p w14:paraId="222F77C2" w14:textId="77777777" w:rsidR="006C01DB"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 xml:space="preserve">&gt;1MW – </w:t>
            </w:r>
          </w:p>
          <w:p w14:paraId="048FC69B" w14:textId="6A3C30F8" w:rsidR="00E23181" w:rsidRPr="000F7BD6" w:rsidRDefault="00E6242D" w:rsidP="00E624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E6242D">
              <w:rPr>
                <w:rFonts w:ascii="Times New Roman" w:eastAsia="Times New Roman" w:hAnsi="Times New Roman"/>
                <w:color w:val="000000"/>
                <w:sz w:val="20"/>
                <w:szCs w:val="20"/>
                <w:lang w:eastAsia="pl-PL"/>
              </w:rPr>
              <w:t>23 300 000,00 zł</w:t>
            </w:r>
            <w:r>
              <w:rPr>
                <w:rFonts w:ascii="Times New Roman" w:eastAsia="Times New Roman" w:hAnsi="Times New Roman"/>
                <w:color w:val="000000"/>
                <w:sz w:val="20"/>
                <w:szCs w:val="20"/>
                <w:lang w:eastAsia="pl-PL"/>
              </w:rPr>
              <w:t xml:space="preserve"> </w:t>
            </w:r>
          </w:p>
        </w:tc>
        <w:tc>
          <w:tcPr>
            <w:tcW w:w="1587" w:type="dxa"/>
            <w:vMerge/>
            <w:vAlign w:val="center"/>
            <w:hideMark/>
          </w:tcPr>
          <w:p w14:paraId="1AC2E59A" w14:textId="61B7147E" w:rsidR="00E23181" w:rsidRPr="000F7BD6" w:rsidRDefault="00E23181"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p>
        </w:tc>
      </w:tr>
      <w:tr w:rsidR="00E6242D" w:rsidRPr="000F7BD6" w14:paraId="51B9973D" w14:textId="77777777" w:rsidTr="007219CD">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B15B25F" w14:textId="77777777"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Cena hurtowa energii elektrycznej</w:t>
            </w:r>
          </w:p>
        </w:tc>
        <w:tc>
          <w:tcPr>
            <w:tcW w:w="1200" w:type="dxa"/>
            <w:vAlign w:val="center"/>
            <w:hideMark/>
          </w:tcPr>
          <w:p w14:paraId="5A689916"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PLN/MWh</w:t>
            </w:r>
          </w:p>
        </w:tc>
        <w:tc>
          <w:tcPr>
            <w:tcW w:w="4892" w:type="dxa"/>
            <w:gridSpan w:val="3"/>
            <w:vAlign w:val="center"/>
            <w:hideMark/>
          </w:tcPr>
          <w:p w14:paraId="7279232E" w14:textId="18EB2720"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2021: 353,56 zł</w:t>
            </w:r>
          </w:p>
        </w:tc>
        <w:tc>
          <w:tcPr>
            <w:tcW w:w="1587" w:type="dxa"/>
            <w:vAlign w:val="center"/>
            <w:hideMark/>
          </w:tcPr>
          <w:p w14:paraId="2C4798B1" w14:textId="77777777" w:rsidR="00E6242D" w:rsidRPr="000F7BD6" w:rsidRDefault="00E6242D"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Średnia ważona wolumenem obrotu cena na RDN ukształtowała się w czerwcu 2021 roku. Źródło: TGE.</w:t>
            </w:r>
          </w:p>
        </w:tc>
      </w:tr>
      <w:tr w:rsidR="003170C9" w:rsidRPr="000F7BD6" w14:paraId="2560A95C" w14:textId="77777777" w:rsidTr="007219CD">
        <w:trPr>
          <w:trHeight w:val="300"/>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57EBF04D" w14:textId="77777777" w:rsidR="003170C9" w:rsidRPr="000F7BD6" w:rsidRDefault="003170C9"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Poziom inflacji</w:t>
            </w:r>
          </w:p>
        </w:tc>
        <w:tc>
          <w:tcPr>
            <w:tcW w:w="1200" w:type="dxa"/>
            <w:vAlign w:val="center"/>
            <w:hideMark/>
          </w:tcPr>
          <w:p w14:paraId="116E9E74" w14:textId="77777777" w:rsidR="003170C9" w:rsidRPr="000F7BD6" w:rsidRDefault="003170C9"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w:t>
            </w:r>
          </w:p>
        </w:tc>
        <w:tc>
          <w:tcPr>
            <w:tcW w:w="4892" w:type="dxa"/>
            <w:gridSpan w:val="3"/>
            <w:vAlign w:val="center"/>
            <w:hideMark/>
          </w:tcPr>
          <w:p w14:paraId="79951B74" w14:textId="4BB7F982" w:rsidR="003170C9" w:rsidRPr="000F7BD6" w:rsidRDefault="003170C9"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3,2% od roku 202</w:t>
            </w:r>
            <w:r>
              <w:rPr>
                <w:rFonts w:ascii="Times New Roman" w:eastAsia="Times New Roman" w:hAnsi="Times New Roman"/>
                <w:color w:val="000000"/>
                <w:sz w:val="20"/>
                <w:szCs w:val="20"/>
                <w:lang w:eastAsia="pl-PL"/>
              </w:rPr>
              <w:t>3</w:t>
            </w:r>
          </w:p>
        </w:tc>
        <w:tc>
          <w:tcPr>
            <w:tcW w:w="1587" w:type="dxa"/>
            <w:vAlign w:val="center"/>
            <w:hideMark/>
          </w:tcPr>
          <w:p w14:paraId="684B21E8" w14:textId="77777777" w:rsidR="003170C9" w:rsidRPr="000F7BD6" w:rsidRDefault="003170C9"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Wg projekcji NBP</w:t>
            </w:r>
          </w:p>
        </w:tc>
      </w:tr>
      <w:tr w:rsidR="00E6242D" w:rsidRPr="000F7BD6" w14:paraId="76DDCF69" w14:textId="77777777" w:rsidTr="007219CD">
        <w:trPr>
          <w:cnfStyle w:val="000000100000" w:firstRow="0" w:lastRow="0" w:firstColumn="0" w:lastColumn="0" w:oddVBand="0" w:evenVBand="0" w:oddHBand="1"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084DED5E" w14:textId="16B7B6EC"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 xml:space="preserve">Okres wsparcia przy pokryciu kosztów operacyjnych - wsparcie </w:t>
            </w:r>
            <w:r w:rsidR="00012E65">
              <w:rPr>
                <w:rFonts w:ascii="Times New Roman" w:eastAsia="Times New Roman" w:hAnsi="Times New Roman"/>
                <w:color w:val="000000"/>
                <w:sz w:val="20"/>
                <w:szCs w:val="20"/>
                <w:lang w:eastAsia="pl-PL"/>
              </w:rPr>
              <w:t xml:space="preserve">operacyjne </w:t>
            </w:r>
          </w:p>
        </w:tc>
        <w:tc>
          <w:tcPr>
            <w:tcW w:w="1200" w:type="dxa"/>
            <w:vAlign w:val="center"/>
            <w:hideMark/>
          </w:tcPr>
          <w:p w14:paraId="3097D271"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rok</w:t>
            </w:r>
          </w:p>
        </w:tc>
        <w:tc>
          <w:tcPr>
            <w:tcW w:w="4892" w:type="dxa"/>
            <w:gridSpan w:val="3"/>
            <w:vAlign w:val="center"/>
            <w:hideMark/>
          </w:tcPr>
          <w:p w14:paraId="344C9617" w14:textId="77777777"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10</w:t>
            </w:r>
          </w:p>
          <w:p w14:paraId="73ADFCED" w14:textId="51D02789" w:rsidR="00E6242D" w:rsidRPr="000F7BD6" w:rsidRDefault="00E6242D" w:rsidP="003956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p>
        </w:tc>
        <w:tc>
          <w:tcPr>
            <w:tcW w:w="1587" w:type="dxa"/>
            <w:vAlign w:val="center"/>
            <w:hideMark/>
          </w:tcPr>
          <w:p w14:paraId="74CCFB9E" w14:textId="77777777" w:rsidR="00E6242D" w:rsidRPr="000F7BD6" w:rsidRDefault="00E6242D" w:rsidP="0039563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Założenia projektu</w:t>
            </w:r>
          </w:p>
        </w:tc>
      </w:tr>
      <w:tr w:rsidR="00E6242D" w:rsidRPr="000F7BD6" w14:paraId="30EAECA2" w14:textId="77777777" w:rsidTr="007219CD">
        <w:trPr>
          <w:trHeight w:val="601"/>
        </w:trPr>
        <w:tc>
          <w:tcPr>
            <w:cnfStyle w:val="001000000000" w:firstRow="0" w:lastRow="0" w:firstColumn="1" w:lastColumn="0" w:oddVBand="0" w:evenVBand="0" w:oddHBand="0" w:evenHBand="0" w:firstRowFirstColumn="0" w:firstRowLastColumn="0" w:lastRowFirstColumn="0" w:lastRowLastColumn="0"/>
            <w:tcW w:w="2247" w:type="dxa"/>
            <w:vAlign w:val="center"/>
            <w:hideMark/>
          </w:tcPr>
          <w:p w14:paraId="366AE874" w14:textId="77777777" w:rsidR="00E6242D" w:rsidRPr="000F7BD6" w:rsidRDefault="00E6242D" w:rsidP="00395630">
            <w:pPr>
              <w:spacing w:line="240" w:lineRule="auto"/>
              <w:jc w:val="right"/>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Okres wsparcia przy modernizacji instalacji</w:t>
            </w:r>
          </w:p>
        </w:tc>
        <w:tc>
          <w:tcPr>
            <w:tcW w:w="1200" w:type="dxa"/>
            <w:noWrap/>
            <w:vAlign w:val="center"/>
            <w:hideMark/>
          </w:tcPr>
          <w:p w14:paraId="3E6486FA" w14:textId="77777777"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rok</w:t>
            </w:r>
          </w:p>
        </w:tc>
        <w:tc>
          <w:tcPr>
            <w:tcW w:w="4892" w:type="dxa"/>
            <w:gridSpan w:val="3"/>
            <w:noWrap/>
            <w:vAlign w:val="center"/>
            <w:hideMark/>
          </w:tcPr>
          <w:p w14:paraId="6EA99401" w14:textId="77777777"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r w:rsidRPr="000F7BD6">
              <w:rPr>
                <w:rFonts w:ascii="Times New Roman" w:eastAsia="Times New Roman" w:hAnsi="Times New Roman"/>
                <w:color w:val="000000"/>
                <w:sz w:val="20"/>
                <w:szCs w:val="20"/>
                <w:lang w:eastAsia="pl-PL"/>
              </w:rPr>
              <w:t>15</w:t>
            </w:r>
          </w:p>
          <w:p w14:paraId="250D6F9D" w14:textId="6BB91BCB" w:rsidR="00E6242D" w:rsidRPr="000F7BD6" w:rsidRDefault="00E6242D" w:rsidP="003956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l-PL"/>
              </w:rPr>
            </w:pPr>
          </w:p>
        </w:tc>
        <w:tc>
          <w:tcPr>
            <w:tcW w:w="1587" w:type="dxa"/>
            <w:noWrap/>
            <w:vAlign w:val="center"/>
            <w:hideMark/>
          </w:tcPr>
          <w:p w14:paraId="0F7FB261" w14:textId="77777777" w:rsidR="00E6242D" w:rsidRPr="000F7BD6" w:rsidRDefault="00E6242D" w:rsidP="0039563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0"/>
                <w:szCs w:val="20"/>
                <w:lang w:eastAsia="pl-PL"/>
              </w:rPr>
            </w:pPr>
            <w:r w:rsidRPr="000F7BD6">
              <w:rPr>
                <w:rFonts w:ascii="Times New Roman" w:eastAsia="Times New Roman" w:hAnsi="Times New Roman"/>
                <w:i/>
                <w:iCs/>
                <w:color w:val="000000"/>
                <w:sz w:val="20"/>
                <w:szCs w:val="20"/>
                <w:lang w:eastAsia="pl-PL"/>
              </w:rPr>
              <w:t>Założenia projektu</w:t>
            </w:r>
          </w:p>
        </w:tc>
      </w:tr>
      <w:tr w:rsidR="008B1725" w:rsidRPr="000F7BD6" w14:paraId="4014B608" w14:textId="77777777" w:rsidTr="007219C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247" w:type="dxa"/>
            <w:vAlign w:val="center"/>
          </w:tcPr>
          <w:p w14:paraId="6361FB6F" w14:textId="20F148B0" w:rsidR="008B1725" w:rsidRPr="000F7BD6" w:rsidRDefault="008B1725" w:rsidP="00395630">
            <w:pPr>
              <w:spacing w:line="240" w:lineRule="auto"/>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Podział pomiędzy </w:t>
            </w:r>
            <w:r w:rsidR="004F78B6">
              <w:rPr>
                <w:rFonts w:ascii="Times New Roman" w:eastAsia="Times New Roman" w:hAnsi="Times New Roman"/>
                <w:color w:val="000000"/>
                <w:sz w:val="20"/>
                <w:szCs w:val="20"/>
                <w:lang w:eastAsia="pl-PL"/>
              </w:rPr>
              <w:t>systemem</w:t>
            </w:r>
            <w:r>
              <w:rPr>
                <w:rFonts w:ascii="Times New Roman" w:eastAsia="Times New Roman" w:hAnsi="Times New Roman"/>
                <w:color w:val="000000"/>
                <w:sz w:val="20"/>
                <w:szCs w:val="20"/>
                <w:lang w:eastAsia="pl-PL"/>
              </w:rPr>
              <w:t xml:space="preserve"> modernizacji a </w:t>
            </w:r>
            <w:r w:rsidR="00012E65">
              <w:rPr>
                <w:rFonts w:ascii="Times New Roman" w:eastAsia="Times New Roman" w:hAnsi="Times New Roman"/>
                <w:color w:val="000000"/>
                <w:sz w:val="20"/>
                <w:szCs w:val="20"/>
                <w:lang w:eastAsia="pl-PL"/>
              </w:rPr>
              <w:t>operacyjnego</w:t>
            </w:r>
            <w:r>
              <w:rPr>
                <w:rFonts w:ascii="Times New Roman" w:eastAsia="Times New Roman" w:hAnsi="Times New Roman"/>
                <w:color w:val="000000"/>
                <w:sz w:val="20"/>
                <w:szCs w:val="20"/>
                <w:lang w:eastAsia="pl-PL"/>
              </w:rPr>
              <w:t xml:space="preserve"> wsparcia </w:t>
            </w:r>
          </w:p>
        </w:tc>
        <w:tc>
          <w:tcPr>
            <w:tcW w:w="7679" w:type="dxa"/>
            <w:gridSpan w:val="5"/>
            <w:noWrap/>
            <w:vAlign w:val="center"/>
          </w:tcPr>
          <w:p w14:paraId="6B448E51" w14:textId="637E5051" w:rsidR="008B1725" w:rsidRPr="004F78B6" w:rsidRDefault="008B1725" w:rsidP="008B17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l-PL"/>
              </w:rPr>
            </w:pPr>
            <w:r w:rsidRPr="004F78B6">
              <w:rPr>
                <w:rFonts w:ascii="Times New Roman" w:eastAsia="Times New Roman" w:hAnsi="Times New Roman"/>
                <w:color w:val="000000"/>
                <w:sz w:val="20"/>
                <w:szCs w:val="20"/>
                <w:lang w:eastAsia="pl-PL"/>
              </w:rPr>
              <w:t xml:space="preserve">50% instalacji przejdzie do systemu modernizacji / 50 % instalacji przejdzie do systemu </w:t>
            </w:r>
            <w:r w:rsidR="00D62360">
              <w:rPr>
                <w:rFonts w:ascii="Times New Roman" w:eastAsia="Times New Roman" w:hAnsi="Times New Roman"/>
                <w:color w:val="000000"/>
                <w:sz w:val="20"/>
                <w:szCs w:val="20"/>
                <w:lang w:eastAsia="pl-PL"/>
              </w:rPr>
              <w:t>wsparcia operacyjnego</w:t>
            </w:r>
          </w:p>
        </w:tc>
      </w:tr>
    </w:tbl>
    <w:p w14:paraId="04C8DC8A" w14:textId="26C36E41" w:rsidR="00181AA6" w:rsidRDefault="009E1D33" w:rsidP="000F7BD6">
      <w:pPr>
        <w:spacing w:before="120" w:after="80"/>
        <w:jc w:val="both"/>
        <w:rPr>
          <w:rFonts w:ascii="Times New Roman" w:hAnsi="Times New Roman"/>
          <w:color w:val="000000"/>
          <w:spacing w:val="-2"/>
        </w:rPr>
      </w:pPr>
      <w:r w:rsidRPr="00687093">
        <w:rPr>
          <w:rFonts w:ascii="Times New Roman" w:hAnsi="Times New Roman"/>
          <w:i/>
          <w:sz w:val="20"/>
        </w:rPr>
        <w:t>Źródło: opracowanie własne Ministerstwa Klimatu i Środowiska</w:t>
      </w:r>
    </w:p>
    <w:p w14:paraId="1CD373F0" w14:textId="77777777" w:rsidR="00181AA6" w:rsidRDefault="00181AA6">
      <w:pPr>
        <w:spacing w:line="240" w:lineRule="auto"/>
        <w:rPr>
          <w:rFonts w:ascii="Times New Roman" w:hAnsi="Times New Roman"/>
          <w:color w:val="000000"/>
          <w:spacing w:val="-2"/>
        </w:rPr>
      </w:pPr>
      <w:r>
        <w:rPr>
          <w:rFonts w:ascii="Times New Roman" w:hAnsi="Times New Roman"/>
          <w:color w:val="000000"/>
          <w:spacing w:val="-2"/>
        </w:rPr>
        <w:br w:type="page"/>
      </w:r>
    </w:p>
    <w:p w14:paraId="1288DE60" w14:textId="7FDC1F18" w:rsidR="001C24CF" w:rsidRPr="000F7BD6" w:rsidRDefault="00B625F1" w:rsidP="000F7BD6">
      <w:pPr>
        <w:spacing w:before="120" w:after="80"/>
        <w:jc w:val="both"/>
        <w:rPr>
          <w:rFonts w:ascii="Times New Roman" w:hAnsi="Times New Roman"/>
          <w:sz w:val="24"/>
          <w:szCs w:val="24"/>
        </w:rPr>
      </w:pPr>
      <w:r w:rsidRPr="00A15283">
        <w:rPr>
          <w:rFonts w:ascii="Times New Roman" w:hAnsi="Times New Roman"/>
          <w:b/>
          <w:bCs/>
          <w:color w:val="000000"/>
          <w:spacing w:val="-2"/>
        </w:rPr>
        <w:lastRenderedPageBreak/>
        <w:t xml:space="preserve">Załącznik nr 3 – </w:t>
      </w:r>
      <w:r w:rsidR="006C01DB">
        <w:rPr>
          <w:rFonts w:ascii="Times New Roman" w:hAnsi="Times New Roman"/>
          <w:b/>
          <w:bCs/>
          <w:color w:val="000000"/>
          <w:spacing w:val="-2"/>
        </w:rPr>
        <w:t xml:space="preserve">Moc zainstalowana instalacji odnawialnego źródła energii, które wejdą do systemu modernizacyjnego lub </w:t>
      </w:r>
      <w:r w:rsidR="00012E65">
        <w:rPr>
          <w:rFonts w:ascii="Times New Roman" w:hAnsi="Times New Roman"/>
          <w:b/>
          <w:bCs/>
          <w:color w:val="000000"/>
          <w:spacing w:val="-2"/>
        </w:rPr>
        <w:t>operacyjnego</w:t>
      </w:r>
      <w:r w:rsidR="006C01DB">
        <w:rPr>
          <w:rFonts w:ascii="Times New Roman" w:hAnsi="Times New Roman"/>
          <w:b/>
          <w:bCs/>
          <w:color w:val="000000"/>
          <w:spacing w:val="-2"/>
        </w:rPr>
        <w:t xml:space="preserve"> w perspektywie do 2030 roku (wg. technologii).</w:t>
      </w:r>
      <w:r w:rsidRPr="000F7BD6">
        <w:rPr>
          <w:rFonts w:ascii="Times New Roman" w:hAnsi="Times New Roman"/>
          <w:color w:val="000000"/>
          <w:spacing w:val="-2"/>
        </w:rPr>
        <w:t xml:space="preserve"> </w:t>
      </w:r>
    </w:p>
    <w:p w14:paraId="6DEF8F38" w14:textId="720FFE7D" w:rsidR="001C24CF" w:rsidRPr="00DE6B59" w:rsidRDefault="001C24CF" w:rsidP="001C24CF">
      <w:pPr>
        <w:pStyle w:val="Akapitzlist"/>
        <w:spacing w:after="80"/>
        <w:ind w:left="567"/>
        <w:contextualSpacing w:val="0"/>
        <w:jc w:val="both"/>
        <w:rPr>
          <w:rFonts w:ascii="Times New Roman" w:hAnsi="Times New Roman"/>
          <w:sz w:val="24"/>
          <w:szCs w:val="24"/>
        </w:rPr>
      </w:pPr>
    </w:p>
    <w:tbl>
      <w:tblPr>
        <w:tblW w:w="940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2187"/>
        <w:gridCol w:w="2187"/>
        <w:gridCol w:w="2845"/>
        <w:gridCol w:w="2187"/>
      </w:tblGrid>
      <w:tr w:rsidR="006C01DB" w:rsidRPr="00D234B1" w14:paraId="1F3028FA" w14:textId="77777777" w:rsidTr="006C01DB">
        <w:trPr>
          <w:trHeight w:val="315"/>
          <w:jc w:val="center"/>
        </w:trPr>
        <w:tc>
          <w:tcPr>
            <w:tcW w:w="2187" w:type="dxa"/>
            <w:shd w:val="clear" w:color="auto" w:fill="A6A6A6" w:themeFill="background1" w:themeFillShade="A6"/>
            <w:noWrap/>
            <w:vAlign w:val="center"/>
            <w:hideMark/>
          </w:tcPr>
          <w:p w14:paraId="769BA129" w14:textId="77777777" w:rsidR="006C01DB" w:rsidRPr="001E3D02" w:rsidRDefault="006C01DB" w:rsidP="006C01DB">
            <w:pPr>
              <w:spacing w:line="240" w:lineRule="auto"/>
              <w:jc w:val="right"/>
              <w:rPr>
                <w:rFonts w:ascii="Times New Roman" w:eastAsia="Times New Roman" w:hAnsi="Times New Roman"/>
                <w:b/>
                <w:bCs/>
                <w:color w:val="000000"/>
                <w:sz w:val="20"/>
                <w:lang w:eastAsia="pl-PL"/>
              </w:rPr>
            </w:pPr>
            <w:r w:rsidRPr="00D234B1">
              <w:rPr>
                <w:rFonts w:ascii="Times New Roman" w:eastAsia="Times New Roman" w:hAnsi="Times New Roman"/>
                <w:b/>
                <w:color w:val="000000"/>
                <w:sz w:val="20"/>
                <w:lang w:eastAsia="pl-PL"/>
              </w:rPr>
              <w:t>Moc instalacji [MW]</w:t>
            </w:r>
          </w:p>
        </w:tc>
        <w:tc>
          <w:tcPr>
            <w:tcW w:w="2187" w:type="dxa"/>
            <w:tcBorders>
              <w:bottom w:val="single" w:sz="4" w:space="0" w:color="FFFFFF" w:themeColor="background1"/>
            </w:tcBorders>
            <w:shd w:val="clear" w:color="auto" w:fill="A6A6A6" w:themeFill="background1" w:themeFillShade="A6"/>
            <w:noWrap/>
            <w:vAlign w:val="center"/>
            <w:hideMark/>
          </w:tcPr>
          <w:p w14:paraId="4B829C8D"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Biogaz</w:t>
            </w:r>
          </w:p>
        </w:tc>
        <w:tc>
          <w:tcPr>
            <w:tcW w:w="2845" w:type="dxa"/>
            <w:tcBorders>
              <w:bottom w:val="single" w:sz="4" w:space="0" w:color="FFFFFF" w:themeColor="background1"/>
            </w:tcBorders>
            <w:shd w:val="clear" w:color="auto" w:fill="A6A6A6" w:themeFill="background1" w:themeFillShade="A6"/>
            <w:noWrap/>
            <w:vAlign w:val="center"/>
            <w:hideMark/>
          </w:tcPr>
          <w:p w14:paraId="6CBCB466"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Biomasa (bez współspalania)</w:t>
            </w:r>
          </w:p>
        </w:tc>
        <w:tc>
          <w:tcPr>
            <w:tcW w:w="2187" w:type="dxa"/>
            <w:tcBorders>
              <w:bottom w:val="single" w:sz="4" w:space="0" w:color="FFFFFF" w:themeColor="background1"/>
            </w:tcBorders>
            <w:shd w:val="clear" w:color="auto" w:fill="A6A6A6" w:themeFill="background1" w:themeFillShade="A6"/>
            <w:noWrap/>
            <w:vAlign w:val="center"/>
            <w:hideMark/>
          </w:tcPr>
          <w:p w14:paraId="1E618B77"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Woda &lt; 5MW</w:t>
            </w:r>
          </w:p>
        </w:tc>
      </w:tr>
      <w:tr w:rsidR="006C01DB" w:rsidRPr="00D234B1" w14:paraId="45DE0E08" w14:textId="77777777" w:rsidTr="006C01DB">
        <w:trPr>
          <w:trHeight w:val="300"/>
          <w:jc w:val="center"/>
        </w:trPr>
        <w:tc>
          <w:tcPr>
            <w:tcW w:w="2187" w:type="dxa"/>
            <w:shd w:val="clear" w:color="auto" w:fill="A6A6A6" w:themeFill="background1" w:themeFillShade="A6"/>
            <w:noWrap/>
            <w:vAlign w:val="center"/>
            <w:hideMark/>
          </w:tcPr>
          <w:p w14:paraId="15A0C302"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2020-2023</w:t>
            </w:r>
          </w:p>
        </w:tc>
        <w:tc>
          <w:tcPr>
            <w:tcW w:w="2187" w:type="dxa"/>
            <w:tcBorders>
              <w:bottom w:val="single" w:sz="4" w:space="0" w:color="FFFFFF" w:themeColor="background1"/>
            </w:tcBorders>
            <w:shd w:val="clear" w:color="auto" w:fill="D9D9D9" w:themeFill="background1" w:themeFillShade="D9"/>
            <w:noWrap/>
            <w:vAlign w:val="center"/>
            <w:hideMark/>
          </w:tcPr>
          <w:p w14:paraId="5365E271"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54,615</w:t>
            </w:r>
          </w:p>
        </w:tc>
        <w:tc>
          <w:tcPr>
            <w:tcW w:w="2845" w:type="dxa"/>
            <w:tcBorders>
              <w:bottom w:val="single" w:sz="4" w:space="0" w:color="FFFFFF" w:themeColor="background1"/>
            </w:tcBorders>
            <w:shd w:val="clear" w:color="auto" w:fill="D9D9D9" w:themeFill="background1" w:themeFillShade="D9"/>
            <w:noWrap/>
            <w:vAlign w:val="center"/>
            <w:hideMark/>
          </w:tcPr>
          <w:p w14:paraId="06ACE42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172,414</w:t>
            </w:r>
          </w:p>
        </w:tc>
        <w:tc>
          <w:tcPr>
            <w:tcW w:w="2187" w:type="dxa"/>
            <w:tcBorders>
              <w:bottom w:val="single" w:sz="4" w:space="0" w:color="FFFFFF" w:themeColor="background1"/>
            </w:tcBorders>
            <w:shd w:val="clear" w:color="auto" w:fill="D9D9D9" w:themeFill="background1" w:themeFillShade="D9"/>
            <w:noWrap/>
            <w:vAlign w:val="center"/>
            <w:hideMark/>
          </w:tcPr>
          <w:p w14:paraId="31B9F44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246,243</w:t>
            </w:r>
          </w:p>
        </w:tc>
      </w:tr>
      <w:tr w:rsidR="006C01DB" w:rsidRPr="001E3D02" w14:paraId="322DA1F4" w14:textId="77777777" w:rsidTr="006C01DB">
        <w:trPr>
          <w:trHeight w:val="300"/>
          <w:jc w:val="center"/>
        </w:trPr>
        <w:tc>
          <w:tcPr>
            <w:tcW w:w="2187" w:type="dxa"/>
            <w:shd w:val="clear" w:color="auto" w:fill="A6A6A6" w:themeFill="background1" w:themeFillShade="A6"/>
            <w:noWrap/>
            <w:vAlign w:val="center"/>
            <w:hideMark/>
          </w:tcPr>
          <w:p w14:paraId="72CD1D7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2024</w:t>
            </w:r>
          </w:p>
        </w:tc>
        <w:tc>
          <w:tcPr>
            <w:tcW w:w="2187" w:type="dxa"/>
            <w:tcBorders>
              <w:bottom w:val="single" w:sz="4" w:space="0" w:color="FFFFFF" w:themeColor="background1"/>
            </w:tcBorders>
            <w:shd w:val="clear" w:color="auto" w:fill="F2F2F2" w:themeFill="background1" w:themeFillShade="F2"/>
            <w:noWrap/>
            <w:vAlign w:val="center"/>
            <w:hideMark/>
          </w:tcPr>
          <w:p w14:paraId="41F1941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16,273</w:t>
            </w:r>
          </w:p>
        </w:tc>
        <w:tc>
          <w:tcPr>
            <w:tcW w:w="2845" w:type="dxa"/>
            <w:tcBorders>
              <w:bottom w:val="single" w:sz="4" w:space="0" w:color="FFFFFF" w:themeColor="background1"/>
            </w:tcBorders>
            <w:shd w:val="clear" w:color="auto" w:fill="F2F2F2" w:themeFill="background1" w:themeFillShade="F2"/>
            <w:noWrap/>
            <w:vAlign w:val="center"/>
            <w:hideMark/>
          </w:tcPr>
          <w:p w14:paraId="6BCBE37D"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13,840</w:t>
            </w:r>
          </w:p>
        </w:tc>
        <w:tc>
          <w:tcPr>
            <w:tcW w:w="2187" w:type="dxa"/>
            <w:tcBorders>
              <w:bottom w:val="single" w:sz="4" w:space="0" w:color="FFFFFF" w:themeColor="background1"/>
            </w:tcBorders>
            <w:shd w:val="clear" w:color="auto" w:fill="F2F2F2" w:themeFill="background1" w:themeFillShade="F2"/>
            <w:noWrap/>
            <w:vAlign w:val="center"/>
            <w:hideMark/>
          </w:tcPr>
          <w:p w14:paraId="07E33324"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1,213</w:t>
            </w:r>
          </w:p>
        </w:tc>
      </w:tr>
      <w:tr w:rsidR="006C01DB" w:rsidRPr="001E3D02" w14:paraId="60115078" w14:textId="77777777" w:rsidTr="006C01DB">
        <w:trPr>
          <w:trHeight w:val="300"/>
          <w:jc w:val="center"/>
        </w:trPr>
        <w:tc>
          <w:tcPr>
            <w:tcW w:w="2187" w:type="dxa"/>
            <w:shd w:val="clear" w:color="auto" w:fill="A6A6A6" w:themeFill="background1" w:themeFillShade="A6"/>
            <w:noWrap/>
            <w:vAlign w:val="center"/>
            <w:hideMark/>
          </w:tcPr>
          <w:p w14:paraId="1BAAD81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2025</w:t>
            </w:r>
          </w:p>
        </w:tc>
        <w:tc>
          <w:tcPr>
            <w:tcW w:w="2187" w:type="dxa"/>
            <w:tcBorders>
              <w:bottom w:val="single" w:sz="4" w:space="0" w:color="FFFFFF" w:themeColor="background1"/>
            </w:tcBorders>
            <w:shd w:val="clear" w:color="auto" w:fill="D9D9D9" w:themeFill="background1" w:themeFillShade="D9"/>
            <w:noWrap/>
            <w:vAlign w:val="center"/>
            <w:hideMark/>
          </w:tcPr>
          <w:p w14:paraId="0431E5DF"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11,996</w:t>
            </w:r>
          </w:p>
        </w:tc>
        <w:tc>
          <w:tcPr>
            <w:tcW w:w="2845" w:type="dxa"/>
            <w:tcBorders>
              <w:bottom w:val="single" w:sz="4" w:space="0" w:color="FFFFFF" w:themeColor="background1"/>
            </w:tcBorders>
            <w:shd w:val="clear" w:color="auto" w:fill="D9D9D9" w:themeFill="background1" w:themeFillShade="D9"/>
            <w:noWrap/>
            <w:vAlign w:val="center"/>
            <w:hideMark/>
          </w:tcPr>
          <w:p w14:paraId="094C4FDE"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68,050</w:t>
            </w:r>
          </w:p>
        </w:tc>
        <w:tc>
          <w:tcPr>
            <w:tcW w:w="2187" w:type="dxa"/>
            <w:tcBorders>
              <w:bottom w:val="single" w:sz="4" w:space="0" w:color="FFFFFF" w:themeColor="background1"/>
            </w:tcBorders>
            <w:shd w:val="clear" w:color="auto" w:fill="D9D9D9" w:themeFill="background1" w:themeFillShade="D9"/>
            <w:noWrap/>
            <w:vAlign w:val="center"/>
            <w:hideMark/>
          </w:tcPr>
          <w:p w14:paraId="4FA09F6F"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0,000</w:t>
            </w:r>
          </w:p>
        </w:tc>
      </w:tr>
      <w:tr w:rsidR="006C01DB" w:rsidRPr="001E3D02" w14:paraId="648B8625" w14:textId="77777777" w:rsidTr="006C01DB">
        <w:trPr>
          <w:trHeight w:val="300"/>
          <w:jc w:val="center"/>
        </w:trPr>
        <w:tc>
          <w:tcPr>
            <w:tcW w:w="2187" w:type="dxa"/>
            <w:shd w:val="clear" w:color="auto" w:fill="A6A6A6" w:themeFill="background1" w:themeFillShade="A6"/>
            <w:noWrap/>
            <w:vAlign w:val="center"/>
            <w:hideMark/>
          </w:tcPr>
          <w:p w14:paraId="1349020F"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2026</w:t>
            </w:r>
          </w:p>
        </w:tc>
        <w:tc>
          <w:tcPr>
            <w:tcW w:w="2187" w:type="dxa"/>
            <w:tcBorders>
              <w:bottom w:val="single" w:sz="4" w:space="0" w:color="FFFFFF" w:themeColor="background1"/>
            </w:tcBorders>
            <w:shd w:val="clear" w:color="auto" w:fill="F2F2F2" w:themeFill="background1" w:themeFillShade="F2"/>
            <w:noWrap/>
            <w:vAlign w:val="center"/>
            <w:hideMark/>
          </w:tcPr>
          <w:p w14:paraId="72E0B397"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20,603</w:t>
            </w:r>
          </w:p>
        </w:tc>
        <w:tc>
          <w:tcPr>
            <w:tcW w:w="2845" w:type="dxa"/>
            <w:tcBorders>
              <w:bottom w:val="single" w:sz="4" w:space="0" w:color="FFFFFF" w:themeColor="background1"/>
            </w:tcBorders>
            <w:shd w:val="clear" w:color="auto" w:fill="F2F2F2" w:themeFill="background1" w:themeFillShade="F2"/>
            <w:noWrap/>
            <w:vAlign w:val="center"/>
            <w:hideMark/>
          </w:tcPr>
          <w:p w14:paraId="3156A643"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36,111</w:t>
            </w:r>
          </w:p>
        </w:tc>
        <w:tc>
          <w:tcPr>
            <w:tcW w:w="2187" w:type="dxa"/>
            <w:tcBorders>
              <w:bottom w:val="single" w:sz="4" w:space="0" w:color="FFFFFF" w:themeColor="background1"/>
            </w:tcBorders>
            <w:shd w:val="clear" w:color="auto" w:fill="F2F2F2" w:themeFill="background1" w:themeFillShade="F2"/>
            <w:noWrap/>
            <w:vAlign w:val="center"/>
            <w:hideMark/>
          </w:tcPr>
          <w:p w14:paraId="64351C4C"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1,618</w:t>
            </w:r>
          </w:p>
        </w:tc>
      </w:tr>
      <w:tr w:rsidR="006C01DB" w:rsidRPr="001E3D02" w14:paraId="040521CA" w14:textId="77777777" w:rsidTr="006C01DB">
        <w:trPr>
          <w:trHeight w:val="300"/>
          <w:jc w:val="center"/>
        </w:trPr>
        <w:tc>
          <w:tcPr>
            <w:tcW w:w="2187" w:type="dxa"/>
            <w:shd w:val="clear" w:color="auto" w:fill="A6A6A6" w:themeFill="background1" w:themeFillShade="A6"/>
            <w:noWrap/>
            <w:vAlign w:val="center"/>
            <w:hideMark/>
          </w:tcPr>
          <w:p w14:paraId="57A620EB"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2027</w:t>
            </w:r>
          </w:p>
        </w:tc>
        <w:tc>
          <w:tcPr>
            <w:tcW w:w="2187" w:type="dxa"/>
            <w:tcBorders>
              <w:bottom w:val="single" w:sz="4" w:space="0" w:color="FFFFFF" w:themeColor="background1"/>
            </w:tcBorders>
            <w:shd w:val="clear" w:color="auto" w:fill="D9D9D9" w:themeFill="background1" w:themeFillShade="D9"/>
            <w:noWrap/>
            <w:vAlign w:val="center"/>
            <w:hideMark/>
          </w:tcPr>
          <w:p w14:paraId="1B49AB4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27,760</w:t>
            </w:r>
          </w:p>
        </w:tc>
        <w:tc>
          <w:tcPr>
            <w:tcW w:w="2845" w:type="dxa"/>
            <w:tcBorders>
              <w:bottom w:val="single" w:sz="4" w:space="0" w:color="FFFFFF" w:themeColor="background1"/>
            </w:tcBorders>
            <w:shd w:val="clear" w:color="auto" w:fill="D9D9D9" w:themeFill="background1" w:themeFillShade="D9"/>
            <w:noWrap/>
            <w:vAlign w:val="center"/>
            <w:hideMark/>
          </w:tcPr>
          <w:p w14:paraId="743D2081"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277,480</w:t>
            </w:r>
          </w:p>
        </w:tc>
        <w:tc>
          <w:tcPr>
            <w:tcW w:w="2187" w:type="dxa"/>
            <w:tcBorders>
              <w:bottom w:val="single" w:sz="4" w:space="0" w:color="FFFFFF" w:themeColor="background1"/>
            </w:tcBorders>
            <w:shd w:val="clear" w:color="auto" w:fill="D9D9D9" w:themeFill="background1" w:themeFillShade="D9"/>
            <w:noWrap/>
            <w:vAlign w:val="center"/>
            <w:hideMark/>
          </w:tcPr>
          <w:p w14:paraId="6814E0E8"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3,852</w:t>
            </w:r>
          </w:p>
        </w:tc>
      </w:tr>
      <w:tr w:rsidR="006C01DB" w:rsidRPr="001E3D02" w14:paraId="76D0632B" w14:textId="77777777" w:rsidTr="006C01DB">
        <w:trPr>
          <w:trHeight w:val="300"/>
          <w:jc w:val="center"/>
        </w:trPr>
        <w:tc>
          <w:tcPr>
            <w:tcW w:w="2187" w:type="dxa"/>
            <w:shd w:val="clear" w:color="auto" w:fill="A6A6A6" w:themeFill="background1" w:themeFillShade="A6"/>
            <w:noWrap/>
            <w:vAlign w:val="center"/>
            <w:hideMark/>
          </w:tcPr>
          <w:p w14:paraId="53EDFF60"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2028</w:t>
            </w:r>
          </w:p>
        </w:tc>
        <w:tc>
          <w:tcPr>
            <w:tcW w:w="2187" w:type="dxa"/>
            <w:tcBorders>
              <w:bottom w:val="single" w:sz="4" w:space="0" w:color="FFFFFF" w:themeColor="background1"/>
            </w:tcBorders>
            <w:shd w:val="clear" w:color="auto" w:fill="F2F2F2" w:themeFill="background1" w:themeFillShade="F2"/>
            <w:noWrap/>
            <w:vAlign w:val="center"/>
            <w:hideMark/>
          </w:tcPr>
          <w:p w14:paraId="6C6ADA2B"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30,994</w:t>
            </w:r>
          </w:p>
        </w:tc>
        <w:tc>
          <w:tcPr>
            <w:tcW w:w="2845" w:type="dxa"/>
            <w:tcBorders>
              <w:bottom w:val="single" w:sz="4" w:space="0" w:color="FFFFFF" w:themeColor="background1"/>
            </w:tcBorders>
            <w:shd w:val="clear" w:color="auto" w:fill="F2F2F2" w:themeFill="background1" w:themeFillShade="F2"/>
            <w:noWrap/>
            <w:vAlign w:val="center"/>
            <w:hideMark/>
          </w:tcPr>
          <w:p w14:paraId="5A408AB9"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112,183</w:t>
            </w:r>
          </w:p>
        </w:tc>
        <w:tc>
          <w:tcPr>
            <w:tcW w:w="2187" w:type="dxa"/>
            <w:tcBorders>
              <w:bottom w:val="single" w:sz="4" w:space="0" w:color="FFFFFF" w:themeColor="background1"/>
            </w:tcBorders>
            <w:shd w:val="clear" w:color="auto" w:fill="F2F2F2" w:themeFill="background1" w:themeFillShade="F2"/>
            <w:noWrap/>
            <w:vAlign w:val="center"/>
            <w:hideMark/>
          </w:tcPr>
          <w:p w14:paraId="7916B2A5"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1,054</w:t>
            </w:r>
          </w:p>
        </w:tc>
      </w:tr>
      <w:tr w:rsidR="006C01DB" w:rsidRPr="001E3D02" w14:paraId="3F56707E" w14:textId="77777777" w:rsidTr="006C01DB">
        <w:trPr>
          <w:trHeight w:val="300"/>
          <w:jc w:val="center"/>
        </w:trPr>
        <w:tc>
          <w:tcPr>
            <w:tcW w:w="2187" w:type="dxa"/>
            <w:shd w:val="clear" w:color="auto" w:fill="A6A6A6" w:themeFill="background1" w:themeFillShade="A6"/>
            <w:noWrap/>
            <w:vAlign w:val="center"/>
            <w:hideMark/>
          </w:tcPr>
          <w:p w14:paraId="337952F2"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2029</w:t>
            </w:r>
          </w:p>
        </w:tc>
        <w:tc>
          <w:tcPr>
            <w:tcW w:w="2187" w:type="dxa"/>
            <w:tcBorders>
              <w:bottom w:val="single" w:sz="4" w:space="0" w:color="FFFFFF" w:themeColor="background1"/>
            </w:tcBorders>
            <w:shd w:val="clear" w:color="auto" w:fill="D9D9D9" w:themeFill="background1" w:themeFillShade="D9"/>
            <w:noWrap/>
            <w:vAlign w:val="center"/>
            <w:hideMark/>
          </w:tcPr>
          <w:p w14:paraId="506FDE29"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26,308</w:t>
            </w:r>
          </w:p>
        </w:tc>
        <w:tc>
          <w:tcPr>
            <w:tcW w:w="2845" w:type="dxa"/>
            <w:tcBorders>
              <w:bottom w:val="single" w:sz="4" w:space="0" w:color="FFFFFF" w:themeColor="background1"/>
            </w:tcBorders>
            <w:shd w:val="clear" w:color="auto" w:fill="D9D9D9" w:themeFill="background1" w:themeFillShade="D9"/>
            <w:noWrap/>
            <w:vAlign w:val="center"/>
            <w:hideMark/>
          </w:tcPr>
          <w:p w14:paraId="6EAAB956"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14,428</w:t>
            </w:r>
          </w:p>
        </w:tc>
        <w:tc>
          <w:tcPr>
            <w:tcW w:w="2187" w:type="dxa"/>
            <w:tcBorders>
              <w:bottom w:val="single" w:sz="4" w:space="0" w:color="FFFFFF" w:themeColor="background1"/>
            </w:tcBorders>
            <w:shd w:val="clear" w:color="auto" w:fill="D9D9D9" w:themeFill="background1" w:themeFillShade="D9"/>
            <w:noWrap/>
            <w:vAlign w:val="center"/>
            <w:hideMark/>
          </w:tcPr>
          <w:p w14:paraId="26950E68"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1,801</w:t>
            </w:r>
          </w:p>
        </w:tc>
      </w:tr>
      <w:tr w:rsidR="006C01DB" w:rsidRPr="001E3D02" w14:paraId="6949237A" w14:textId="77777777" w:rsidTr="006C01DB">
        <w:trPr>
          <w:trHeight w:val="300"/>
          <w:jc w:val="center"/>
        </w:trPr>
        <w:tc>
          <w:tcPr>
            <w:tcW w:w="2187" w:type="dxa"/>
            <w:shd w:val="clear" w:color="auto" w:fill="A6A6A6" w:themeFill="background1" w:themeFillShade="A6"/>
            <w:noWrap/>
            <w:vAlign w:val="center"/>
            <w:hideMark/>
          </w:tcPr>
          <w:p w14:paraId="72265AE7" w14:textId="77777777" w:rsidR="006C01DB" w:rsidRPr="001E3D02" w:rsidRDefault="006C01DB" w:rsidP="006C01DB">
            <w:pPr>
              <w:spacing w:line="240" w:lineRule="auto"/>
              <w:jc w:val="right"/>
              <w:rPr>
                <w:rFonts w:ascii="Times New Roman" w:eastAsia="Times New Roman" w:hAnsi="Times New Roman"/>
                <w:b/>
                <w:color w:val="000000"/>
                <w:sz w:val="20"/>
                <w:lang w:eastAsia="pl-PL"/>
              </w:rPr>
            </w:pPr>
            <w:r w:rsidRPr="001E3D02">
              <w:rPr>
                <w:rFonts w:ascii="Times New Roman" w:eastAsia="Times New Roman" w:hAnsi="Times New Roman"/>
                <w:b/>
                <w:color w:val="000000"/>
                <w:sz w:val="20"/>
                <w:lang w:eastAsia="pl-PL"/>
              </w:rPr>
              <w:t>2030</w:t>
            </w:r>
          </w:p>
        </w:tc>
        <w:tc>
          <w:tcPr>
            <w:tcW w:w="2187" w:type="dxa"/>
            <w:tcBorders>
              <w:bottom w:val="single" w:sz="4" w:space="0" w:color="FFFFFF" w:themeColor="background1"/>
            </w:tcBorders>
            <w:shd w:val="clear" w:color="auto" w:fill="F2F2F2" w:themeFill="background1" w:themeFillShade="F2"/>
            <w:noWrap/>
            <w:vAlign w:val="center"/>
            <w:hideMark/>
          </w:tcPr>
          <w:p w14:paraId="447A348C"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23,948</w:t>
            </w:r>
          </w:p>
        </w:tc>
        <w:tc>
          <w:tcPr>
            <w:tcW w:w="2845" w:type="dxa"/>
            <w:tcBorders>
              <w:bottom w:val="single" w:sz="4" w:space="0" w:color="FFFFFF" w:themeColor="background1"/>
            </w:tcBorders>
            <w:shd w:val="clear" w:color="auto" w:fill="F2F2F2" w:themeFill="background1" w:themeFillShade="F2"/>
            <w:noWrap/>
            <w:vAlign w:val="center"/>
            <w:hideMark/>
          </w:tcPr>
          <w:p w14:paraId="1F3EB69A"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77,248</w:t>
            </w:r>
          </w:p>
        </w:tc>
        <w:tc>
          <w:tcPr>
            <w:tcW w:w="2187" w:type="dxa"/>
            <w:tcBorders>
              <w:bottom w:val="single" w:sz="4" w:space="0" w:color="FFFFFF" w:themeColor="background1"/>
            </w:tcBorders>
            <w:shd w:val="clear" w:color="auto" w:fill="F2F2F2" w:themeFill="background1" w:themeFillShade="F2"/>
            <w:noWrap/>
            <w:vAlign w:val="center"/>
            <w:hideMark/>
          </w:tcPr>
          <w:p w14:paraId="43F00052" w14:textId="77777777" w:rsidR="006C01DB" w:rsidRPr="001E3D02" w:rsidRDefault="006C01DB" w:rsidP="006C01DB">
            <w:pPr>
              <w:spacing w:line="240" w:lineRule="auto"/>
              <w:jc w:val="center"/>
              <w:rPr>
                <w:rFonts w:ascii="Times New Roman" w:eastAsia="Times New Roman" w:hAnsi="Times New Roman"/>
                <w:color w:val="000000"/>
                <w:sz w:val="20"/>
                <w:lang w:eastAsia="pl-PL"/>
              </w:rPr>
            </w:pPr>
            <w:r w:rsidRPr="001E3D02">
              <w:rPr>
                <w:rFonts w:ascii="Times New Roman" w:eastAsia="Times New Roman" w:hAnsi="Times New Roman"/>
                <w:color w:val="000000"/>
                <w:sz w:val="20"/>
                <w:lang w:eastAsia="pl-PL"/>
              </w:rPr>
              <w:t>1,255</w:t>
            </w:r>
          </w:p>
        </w:tc>
      </w:tr>
      <w:tr w:rsidR="006C01DB" w:rsidRPr="001E3D02" w14:paraId="13DDA752" w14:textId="77777777" w:rsidTr="006C01DB">
        <w:trPr>
          <w:trHeight w:val="300"/>
          <w:jc w:val="center"/>
        </w:trPr>
        <w:tc>
          <w:tcPr>
            <w:tcW w:w="2187" w:type="dxa"/>
            <w:shd w:val="clear" w:color="auto" w:fill="A6A6A6" w:themeFill="background1" w:themeFillShade="A6"/>
            <w:noWrap/>
            <w:vAlign w:val="center"/>
            <w:hideMark/>
          </w:tcPr>
          <w:p w14:paraId="35E2E96B" w14:textId="77777777" w:rsidR="006C01DB" w:rsidRPr="001E3D02" w:rsidRDefault="006C01DB" w:rsidP="006C01DB">
            <w:pPr>
              <w:spacing w:line="240" w:lineRule="auto"/>
              <w:jc w:val="right"/>
              <w:rPr>
                <w:rFonts w:ascii="Times New Roman" w:eastAsia="Times New Roman" w:hAnsi="Times New Roman"/>
                <w:b/>
                <w:bCs/>
                <w:color w:val="000000"/>
                <w:sz w:val="20"/>
                <w:lang w:eastAsia="pl-PL"/>
              </w:rPr>
            </w:pPr>
            <w:r w:rsidRPr="00D234B1">
              <w:rPr>
                <w:rFonts w:ascii="Times New Roman" w:eastAsia="Times New Roman" w:hAnsi="Times New Roman"/>
                <w:b/>
                <w:color w:val="000000"/>
                <w:sz w:val="20"/>
                <w:lang w:eastAsia="pl-PL"/>
              </w:rPr>
              <w:t>SUMA</w:t>
            </w:r>
          </w:p>
        </w:tc>
        <w:tc>
          <w:tcPr>
            <w:tcW w:w="2187" w:type="dxa"/>
            <w:shd w:val="clear" w:color="auto" w:fill="D9D9D9" w:themeFill="background1" w:themeFillShade="D9"/>
            <w:noWrap/>
            <w:vAlign w:val="center"/>
            <w:hideMark/>
          </w:tcPr>
          <w:p w14:paraId="5D218F80"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212,497</w:t>
            </w:r>
            <w:r>
              <w:rPr>
                <w:rFonts w:ascii="Times New Roman" w:eastAsia="Times New Roman" w:hAnsi="Times New Roman"/>
                <w:b/>
                <w:bCs/>
                <w:color w:val="000000"/>
                <w:sz w:val="20"/>
                <w:lang w:eastAsia="pl-PL"/>
              </w:rPr>
              <w:t xml:space="preserve"> MW</w:t>
            </w:r>
          </w:p>
        </w:tc>
        <w:tc>
          <w:tcPr>
            <w:tcW w:w="2845" w:type="dxa"/>
            <w:shd w:val="clear" w:color="auto" w:fill="D9D9D9" w:themeFill="background1" w:themeFillShade="D9"/>
            <w:noWrap/>
            <w:vAlign w:val="center"/>
            <w:hideMark/>
          </w:tcPr>
          <w:p w14:paraId="6B8B1556"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771,754</w:t>
            </w:r>
            <w:r>
              <w:rPr>
                <w:rFonts w:ascii="Times New Roman" w:eastAsia="Times New Roman" w:hAnsi="Times New Roman"/>
                <w:b/>
                <w:bCs/>
                <w:color w:val="000000"/>
                <w:sz w:val="20"/>
                <w:lang w:eastAsia="pl-PL"/>
              </w:rPr>
              <w:t xml:space="preserve"> MW</w:t>
            </w:r>
          </w:p>
        </w:tc>
        <w:tc>
          <w:tcPr>
            <w:tcW w:w="2187" w:type="dxa"/>
            <w:shd w:val="clear" w:color="auto" w:fill="D9D9D9" w:themeFill="background1" w:themeFillShade="D9"/>
            <w:noWrap/>
            <w:vAlign w:val="center"/>
            <w:hideMark/>
          </w:tcPr>
          <w:p w14:paraId="51BE7D67" w14:textId="77777777" w:rsidR="006C01DB" w:rsidRPr="001E3D02" w:rsidRDefault="006C01DB" w:rsidP="006C01DB">
            <w:pPr>
              <w:spacing w:line="240" w:lineRule="auto"/>
              <w:jc w:val="center"/>
              <w:rPr>
                <w:rFonts w:ascii="Times New Roman" w:eastAsia="Times New Roman" w:hAnsi="Times New Roman"/>
                <w:b/>
                <w:bCs/>
                <w:color w:val="000000"/>
                <w:sz w:val="20"/>
                <w:lang w:eastAsia="pl-PL"/>
              </w:rPr>
            </w:pPr>
            <w:r w:rsidRPr="001E3D02">
              <w:rPr>
                <w:rFonts w:ascii="Times New Roman" w:eastAsia="Times New Roman" w:hAnsi="Times New Roman"/>
                <w:b/>
                <w:bCs/>
                <w:color w:val="000000"/>
                <w:sz w:val="20"/>
                <w:lang w:eastAsia="pl-PL"/>
              </w:rPr>
              <w:t>257,035</w:t>
            </w:r>
            <w:r>
              <w:rPr>
                <w:rFonts w:ascii="Times New Roman" w:eastAsia="Times New Roman" w:hAnsi="Times New Roman"/>
                <w:b/>
                <w:bCs/>
                <w:color w:val="000000"/>
                <w:sz w:val="20"/>
                <w:lang w:eastAsia="pl-PL"/>
              </w:rPr>
              <w:t xml:space="preserve"> MW</w:t>
            </w:r>
          </w:p>
        </w:tc>
      </w:tr>
    </w:tbl>
    <w:p w14:paraId="49236F10" w14:textId="7BA7AFE7" w:rsidR="002020BA" w:rsidRDefault="002020BA" w:rsidP="00B625F1">
      <w:pPr>
        <w:tabs>
          <w:tab w:val="left" w:pos="1032"/>
        </w:tabs>
        <w:spacing w:line="240" w:lineRule="auto"/>
        <w:jc w:val="both"/>
        <w:rPr>
          <w:rFonts w:ascii="Times New Roman" w:hAnsi="Times New Roman"/>
        </w:rPr>
      </w:pPr>
    </w:p>
    <w:p w14:paraId="022A08A2" w14:textId="77777777" w:rsidR="002020BA" w:rsidRDefault="002020BA">
      <w:pPr>
        <w:spacing w:line="240" w:lineRule="auto"/>
        <w:rPr>
          <w:rFonts w:ascii="Times New Roman" w:hAnsi="Times New Roman"/>
        </w:rPr>
      </w:pPr>
      <w:r>
        <w:rPr>
          <w:rFonts w:ascii="Times New Roman" w:hAnsi="Times New Roman"/>
        </w:rPr>
        <w:br w:type="page"/>
      </w:r>
    </w:p>
    <w:p w14:paraId="0A29F61A" w14:textId="63B3EBC6" w:rsidR="002020BA" w:rsidRPr="00B54419" w:rsidRDefault="002020BA" w:rsidP="009E525D">
      <w:pPr>
        <w:spacing w:after="80" w:line="240" w:lineRule="auto"/>
        <w:jc w:val="both"/>
        <w:rPr>
          <w:rFonts w:ascii="Times New Roman" w:hAnsi="Times New Roman"/>
          <w:b/>
        </w:rPr>
      </w:pPr>
      <w:r w:rsidRPr="00B54419">
        <w:rPr>
          <w:rFonts w:ascii="Times New Roman" w:hAnsi="Times New Roman"/>
          <w:b/>
          <w:bCs/>
        </w:rPr>
        <w:lastRenderedPageBreak/>
        <w:t>Załącznik nr 4 -</w:t>
      </w:r>
      <w:r>
        <w:rPr>
          <w:rFonts w:ascii="Times New Roman" w:hAnsi="Times New Roman"/>
        </w:rPr>
        <w:t xml:space="preserve"> </w:t>
      </w:r>
      <w:r w:rsidRPr="009E525D">
        <w:rPr>
          <w:rFonts w:ascii="Times New Roman" w:hAnsi="Times New Roman"/>
          <w:b/>
          <w:bCs/>
          <w:iCs/>
        </w:rPr>
        <w:t>Wpływ na sektor energetyczny – wprowadzenie instrumentów wsparcia dla członków klastra energii</w:t>
      </w:r>
    </w:p>
    <w:p w14:paraId="06D2F37A" w14:textId="77777777" w:rsidR="002020BA" w:rsidRDefault="002020BA" w:rsidP="002020BA">
      <w:pPr>
        <w:spacing w:after="80" w:line="240" w:lineRule="auto"/>
        <w:jc w:val="both"/>
        <w:rPr>
          <w:rFonts w:ascii="Times New Roman" w:hAnsi="Times New Roman"/>
        </w:rPr>
      </w:pPr>
    </w:p>
    <w:p w14:paraId="65D3535A" w14:textId="77777777"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Uwzględniając założenia</w:t>
      </w:r>
      <w:r>
        <w:rPr>
          <w:rFonts w:ascii="Times New Roman" w:hAnsi="Times New Roman"/>
        </w:rPr>
        <w:t xml:space="preserve"> dotyczące rozwoju sektora klastrów energii, zawarte w pkt 2 OSR </w:t>
      </w:r>
      <w:r w:rsidRPr="00BD5BD5">
        <w:rPr>
          <w:rFonts w:ascii="Times New Roman" w:hAnsi="Times New Roman"/>
          <w:i/>
        </w:rPr>
        <w:t>(</w:t>
      </w:r>
      <w:proofErr w:type="spellStart"/>
      <w:r w:rsidRPr="00BD5BD5">
        <w:rPr>
          <w:rFonts w:ascii="Times New Roman" w:hAnsi="Times New Roman"/>
          <w:i/>
        </w:rPr>
        <w:t>ppkt</w:t>
      </w:r>
      <w:proofErr w:type="spellEnd"/>
      <w:r w:rsidRPr="00BD5BD5">
        <w:rPr>
          <w:rFonts w:ascii="Times New Roman" w:hAnsi="Times New Roman"/>
          <w:i/>
        </w:rPr>
        <w:t xml:space="preserve"> Instrumenty promowania rozwoju klastrów energii)</w:t>
      </w:r>
      <w:r>
        <w:rPr>
          <w:rFonts w:ascii="Times New Roman" w:hAnsi="Times New Roman"/>
        </w:rPr>
        <w:t>, w tym wskazujące na powstanie do roku 2029 ok. 300 inicjatyw klastrowych, dysponujących mocą wytwórczą na poziomie 840GWh rocznie,</w:t>
      </w:r>
      <w:r w:rsidRPr="00687093">
        <w:rPr>
          <w:rFonts w:ascii="Times New Roman" w:hAnsi="Times New Roman"/>
        </w:rPr>
        <w:t xml:space="preserve"> dokonano oszacowania wpływu planowanych regulacji na poziom wsparcia ogółem dla członków klastra energii w okresie planowanego wsparcia</w:t>
      </w:r>
      <w:r>
        <w:rPr>
          <w:rFonts w:ascii="Times New Roman" w:hAnsi="Times New Roman"/>
        </w:rPr>
        <w:t xml:space="preserve"> jak również na sektor energetyczny</w:t>
      </w:r>
      <w:r w:rsidRPr="00687093">
        <w:rPr>
          <w:rFonts w:ascii="Times New Roman" w:hAnsi="Times New Roman"/>
        </w:rPr>
        <w:t>.</w:t>
      </w:r>
    </w:p>
    <w:p w14:paraId="7731A132" w14:textId="3AA1DC99"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 xml:space="preserve">Zgodnie z założeniami, poziom wsparcia klastrów energii będzie uzależniony od poziomu </w:t>
      </w:r>
      <w:r w:rsidR="000D4FA3">
        <w:rPr>
          <w:rFonts w:ascii="Times New Roman" w:hAnsi="Times New Roman"/>
        </w:rPr>
        <w:t xml:space="preserve">zużycia własnego </w:t>
      </w:r>
      <w:r w:rsidRPr="00687093">
        <w:rPr>
          <w:rFonts w:ascii="Times New Roman" w:hAnsi="Times New Roman"/>
        </w:rPr>
        <w:t xml:space="preserve">rozumianego jako ilości energii elektrycznej wprowadzonej do sieci dystrybucyjnej elektroenergetycznej wobec ilości energii elektrycznej pobranej z tej sieci w celu jej zużycia na potrzeby własne przez członków klastra energii wyznaczonej dla każdej godziny. </w:t>
      </w:r>
    </w:p>
    <w:p w14:paraId="460204E2" w14:textId="2E48DC3E" w:rsidR="002020BA" w:rsidRDefault="002020BA" w:rsidP="002020BA">
      <w:pPr>
        <w:spacing w:after="80" w:line="240" w:lineRule="auto"/>
        <w:jc w:val="both"/>
        <w:rPr>
          <w:rFonts w:ascii="Times New Roman" w:hAnsi="Times New Roman"/>
        </w:rPr>
      </w:pPr>
      <w:r w:rsidRPr="00687093">
        <w:rPr>
          <w:rFonts w:ascii="Times New Roman" w:hAnsi="Times New Roman"/>
        </w:rPr>
        <w:t>Na potrzeby oszacowania całkowitych kosztów instrumentów wsparcia dla klastrów energii wprowadzanych projektem ustawy dokonano obliczeń zgodnie z poniższymi tabelami. Zgodnie z projektem ustawy, klaster energii, którego członkowie będą korzystać z instrumentów wsparcia przewidzianych w projekcie ustawy, będzie z chwilą wejścia w życie przepisów zobowiązany wykazać się 40% poziomem</w:t>
      </w:r>
      <w:r w:rsidR="00253E6F">
        <w:rPr>
          <w:rFonts w:ascii="Times New Roman" w:hAnsi="Times New Roman"/>
        </w:rPr>
        <w:t xml:space="preserve"> </w:t>
      </w:r>
      <w:r w:rsidR="000D4FA3">
        <w:rPr>
          <w:rFonts w:ascii="Times New Roman" w:hAnsi="Times New Roman"/>
        </w:rPr>
        <w:t>zużycia własnego</w:t>
      </w:r>
      <w:r w:rsidR="00F764BE">
        <w:rPr>
          <w:rFonts w:ascii="Times New Roman" w:hAnsi="Times New Roman"/>
        </w:rPr>
        <w:t>, który wzrośnie od roku 2027</w:t>
      </w:r>
      <w:r w:rsidRPr="00687093">
        <w:rPr>
          <w:rFonts w:ascii="Times New Roman" w:hAnsi="Times New Roman"/>
        </w:rPr>
        <w:t xml:space="preserve"> do 50%. Spełniając ww. wymagania członkowie klastra energii będą uprawnieni do korzystania ze zwolnienia z części opłat w stosunku do energii z OZE wytworzonej przez członków klastra energii. Zwolnienie to obejmować będzie opłatę OZE oraz opłatę kogeneracyjną. Poniższa tabela prezentuje szacowany poziom wsparcia ogółem dla członków klastra energii w sytuacji wykazania minimalnego poziomu </w:t>
      </w:r>
      <w:r w:rsidR="00F94119">
        <w:rPr>
          <w:rFonts w:ascii="Times New Roman" w:hAnsi="Times New Roman"/>
        </w:rPr>
        <w:t>zużycia własnego</w:t>
      </w:r>
      <w:r w:rsidR="00CD3C00">
        <w:rPr>
          <w:rFonts w:ascii="Times New Roman" w:hAnsi="Times New Roman"/>
        </w:rPr>
        <w:t>.</w:t>
      </w:r>
    </w:p>
    <w:p w14:paraId="5682268B" w14:textId="77777777" w:rsidR="002020BA" w:rsidRPr="00687093" w:rsidRDefault="002020BA" w:rsidP="002020BA">
      <w:pPr>
        <w:spacing w:line="240" w:lineRule="auto"/>
        <w:jc w:val="both"/>
        <w:rPr>
          <w:rFonts w:ascii="Times New Roman" w:hAnsi="Times New Roman"/>
        </w:rPr>
      </w:pPr>
    </w:p>
    <w:p w14:paraId="5A0D9788" w14:textId="2776B9BF" w:rsidR="002020BA" w:rsidRPr="00687093" w:rsidRDefault="002020BA" w:rsidP="002020BA">
      <w:pPr>
        <w:spacing w:line="240" w:lineRule="auto"/>
        <w:jc w:val="both"/>
        <w:rPr>
          <w:rFonts w:ascii="Times New Roman" w:hAnsi="Times New Roman"/>
          <w:bCs/>
          <w:i/>
          <w:sz w:val="20"/>
          <w:szCs w:val="20"/>
        </w:rPr>
      </w:pPr>
      <w:r w:rsidRPr="00687093">
        <w:rPr>
          <w:rFonts w:ascii="Times New Roman" w:hAnsi="Times New Roman"/>
          <w:sz w:val="10"/>
          <w:szCs w:val="10"/>
        </w:rPr>
        <w:t xml:space="preserve"> </w:t>
      </w:r>
      <w:r w:rsidRPr="00687093">
        <w:rPr>
          <w:rFonts w:ascii="Times New Roman" w:hAnsi="Times New Roman"/>
          <w:bCs/>
          <w:i/>
          <w:sz w:val="20"/>
          <w:szCs w:val="20"/>
        </w:rPr>
        <w:t xml:space="preserve">Tabela </w:t>
      </w:r>
      <w:r w:rsidR="009E525D">
        <w:rPr>
          <w:rFonts w:ascii="Times New Roman" w:hAnsi="Times New Roman"/>
          <w:bCs/>
          <w:i/>
          <w:sz w:val="20"/>
          <w:szCs w:val="20"/>
        </w:rPr>
        <w:t>1</w:t>
      </w:r>
      <w:r w:rsidRPr="00687093">
        <w:rPr>
          <w:rFonts w:ascii="Times New Roman" w:hAnsi="Times New Roman"/>
          <w:bCs/>
          <w:i/>
          <w:sz w:val="20"/>
          <w:szCs w:val="20"/>
        </w:rPr>
        <w:t xml:space="preserve">: Prognozowany poziom wsparcia członków klastra energii przy poziomie </w:t>
      </w:r>
      <w:r w:rsidR="003C3BB3">
        <w:rPr>
          <w:rFonts w:ascii="Times New Roman" w:hAnsi="Times New Roman"/>
          <w:bCs/>
          <w:i/>
          <w:sz w:val="20"/>
          <w:szCs w:val="20"/>
        </w:rPr>
        <w:t xml:space="preserve">zużycia własnego </w:t>
      </w:r>
      <w:r w:rsidRPr="00687093">
        <w:rPr>
          <w:rFonts w:ascii="Times New Roman" w:hAnsi="Times New Roman"/>
          <w:bCs/>
          <w:i/>
          <w:sz w:val="20"/>
          <w:szCs w:val="20"/>
        </w:rPr>
        <w:t>na poziomie co najmniej 40% w latach 202</w:t>
      </w:r>
      <w:r w:rsidR="00F764BE">
        <w:rPr>
          <w:rFonts w:ascii="Times New Roman" w:hAnsi="Times New Roman"/>
          <w:bCs/>
          <w:i/>
          <w:sz w:val="20"/>
          <w:szCs w:val="20"/>
        </w:rPr>
        <w:t>4-2026</w:t>
      </w:r>
      <w:r w:rsidRPr="00687093">
        <w:rPr>
          <w:rFonts w:ascii="Times New Roman" w:hAnsi="Times New Roman"/>
          <w:bCs/>
          <w:i/>
          <w:sz w:val="20"/>
          <w:szCs w:val="20"/>
        </w:rPr>
        <w:t xml:space="preserve"> oraz przy poziomie </w:t>
      </w:r>
      <w:r w:rsidR="003C3BB3">
        <w:rPr>
          <w:rFonts w:ascii="Times New Roman" w:hAnsi="Times New Roman"/>
          <w:bCs/>
          <w:i/>
          <w:sz w:val="20"/>
          <w:szCs w:val="20"/>
        </w:rPr>
        <w:t>zużycia własnego</w:t>
      </w:r>
      <w:r w:rsidR="00253E6F">
        <w:rPr>
          <w:rFonts w:ascii="Times New Roman" w:hAnsi="Times New Roman"/>
          <w:bCs/>
          <w:i/>
          <w:sz w:val="20"/>
          <w:szCs w:val="20"/>
        </w:rPr>
        <w:t xml:space="preserve"> </w:t>
      </w:r>
      <w:r w:rsidRPr="00687093">
        <w:rPr>
          <w:rFonts w:ascii="Times New Roman" w:hAnsi="Times New Roman"/>
          <w:bCs/>
          <w:i/>
          <w:sz w:val="20"/>
          <w:szCs w:val="20"/>
        </w:rPr>
        <w:t>co najmniej 50% w latach 202</w:t>
      </w:r>
      <w:r w:rsidR="00304A3B">
        <w:rPr>
          <w:rFonts w:ascii="Times New Roman" w:hAnsi="Times New Roman"/>
          <w:bCs/>
          <w:i/>
          <w:sz w:val="20"/>
          <w:szCs w:val="20"/>
        </w:rPr>
        <w:t>7</w:t>
      </w:r>
      <w:r w:rsidRPr="00687093">
        <w:rPr>
          <w:rFonts w:ascii="Times New Roman" w:hAnsi="Times New Roman"/>
          <w:bCs/>
          <w:i/>
          <w:sz w:val="20"/>
          <w:szCs w:val="20"/>
        </w:rPr>
        <w:t>-2029.</w:t>
      </w:r>
    </w:p>
    <w:tbl>
      <w:tblPr>
        <w:tblW w:w="10387" w:type="dxa"/>
        <w:tblCellMar>
          <w:left w:w="70" w:type="dxa"/>
          <w:right w:w="70" w:type="dxa"/>
        </w:tblCellMar>
        <w:tblLook w:val="04A0" w:firstRow="1" w:lastRow="0" w:firstColumn="1" w:lastColumn="0" w:noHBand="0" w:noVBand="1"/>
      </w:tblPr>
      <w:tblGrid>
        <w:gridCol w:w="1487"/>
        <w:gridCol w:w="1067"/>
        <w:gridCol w:w="1049"/>
        <w:gridCol w:w="1251"/>
        <w:gridCol w:w="1049"/>
        <w:gridCol w:w="1049"/>
        <w:gridCol w:w="1052"/>
        <w:gridCol w:w="2383"/>
      </w:tblGrid>
      <w:tr w:rsidR="00B64493" w:rsidRPr="00B64493" w14:paraId="74BF2352" w14:textId="77777777" w:rsidTr="007219CD">
        <w:trPr>
          <w:trHeight w:val="296"/>
        </w:trPr>
        <w:tc>
          <w:tcPr>
            <w:tcW w:w="1487" w:type="dxa"/>
            <w:vMerge w:val="restart"/>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9ACB545"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Rok</w:t>
            </w:r>
          </w:p>
        </w:tc>
        <w:tc>
          <w:tcPr>
            <w:tcW w:w="1067" w:type="dxa"/>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21B2F727"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Produkcja energii elektrycznej (MWh)</w:t>
            </w:r>
          </w:p>
        </w:tc>
        <w:tc>
          <w:tcPr>
            <w:tcW w:w="5450" w:type="dxa"/>
            <w:gridSpan w:val="5"/>
            <w:tcBorders>
              <w:top w:val="single" w:sz="4" w:space="0" w:color="auto"/>
              <w:left w:val="nil"/>
              <w:bottom w:val="single" w:sz="4" w:space="0" w:color="auto"/>
              <w:right w:val="single" w:sz="4" w:space="0" w:color="auto"/>
            </w:tcBorders>
            <w:shd w:val="clear" w:color="000000" w:fill="D9E1F2"/>
            <w:noWrap/>
            <w:vAlign w:val="bottom"/>
            <w:hideMark/>
          </w:tcPr>
          <w:p w14:paraId="69C059E6"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Instrumenty wsparcia członków klastra energii</w:t>
            </w:r>
          </w:p>
        </w:tc>
        <w:tc>
          <w:tcPr>
            <w:tcW w:w="2383" w:type="dxa"/>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1345B86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Szacowany poziom wsparcia członków klastra energii</w:t>
            </w:r>
          </w:p>
        </w:tc>
      </w:tr>
      <w:tr w:rsidR="00B64493" w:rsidRPr="00B64493" w14:paraId="5997F18D" w14:textId="77777777" w:rsidTr="00F764BE">
        <w:trPr>
          <w:trHeight w:val="876"/>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63BB08EF"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19529450"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tcBorders>
              <w:top w:val="nil"/>
              <w:left w:val="nil"/>
              <w:bottom w:val="single" w:sz="4" w:space="0" w:color="auto"/>
              <w:right w:val="single" w:sz="4" w:space="0" w:color="auto"/>
            </w:tcBorders>
            <w:shd w:val="clear" w:color="000000" w:fill="D9E1F2"/>
            <w:vAlign w:val="bottom"/>
            <w:hideMark/>
          </w:tcPr>
          <w:p w14:paraId="10109296"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Opłata OZE</w:t>
            </w:r>
          </w:p>
        </w:tc>
        <w:tc>
          <w:tcPr>
            <w:tcW w:w="1251" w:type="dxa"/>
            <w:tcBorders>
              <w:top w:val="nil"/>
              <w:left w:val="nil"/>
              <w:bottom w:val="single" w:sz="4" w:space="0" w:color="auto"/>
              <w:right w:val="single" w:sz="4" w:space="0" w:color="auto"/>
            </w:tcBorders>
            <w:shd w:val="clear" w:color="000000" w:fill="D9E1F2"/>
            <w:vAlign w:val="bottom"/>
            <w:hideMark/>
          </w:tcPr>
          <w:p w14:paraId="66D44FF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Opłata kogeneracyjna</w:t>
            </w:r>
          </w:p>
        </w:tc>
        <w:tc>
          <w:tcPr>
            <w:tcW w:w="1049" w:type="dxa"/>
            <w:tcBorders>
              <w:top w:val="nil"/>
              <w:left w:val="nil"/>
              <w:bottom w:val="single" w:sz="4" w:space="0" w:color="auto"/>
              <w:right w:val="single" w:sz="4" w:space="0" w:color="auto"/>
            </w:tcBorders>
            <w:shd w:val="clear" w:color="000000" w:fill="D9E1F2"/>
            <w:vAlign w:val="bottom"/>
            <w:hideMark/>
          </w:tcPr>
          <w:p w14:paraId="7A0BCD61"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Zielone certyfikaty</w:t>
            </w:r>
          </w:p>
        </w:tc>
        <w:tc>
          <w:tcPr>
            <w:tcW w:w="1049" w:type="dxa"/>
            <w:tcBorders>
              <w:top w:val="nil"/>
              <w:left w:val="nil"/>
              <w:bottom w:val="single" w:sz="4" w:space="0" w:color="auto"/>
              <w:right w:val="single" w:sz="4" w:space="0" w:color="auto"/>
            </w:tcBorders>
            <w:shd w:val="clear" w:color="000000" w:fill="D9E1F2"/>
            <w:vAlign w:val="bottom"/>
            <w:hideMark/>
          </w:tcPr>
          <w:p w14:paraId="31D2F39B"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Białe certyfikaty</w:t>
            </w:r>
          </w:p>
        </w:tc>
        <w:tc>
          <w:tcPr>
            <w:tcW w:w="1052" w:type="dxa"/>
            <w:tcBorders>
              <w:top w:val="nil"/>
              <w:left w:val="nil"/>
              <w:bottom w:val="single" w:sz="4" w:space="0" w:color="auto"/>
              <w:right w:val="single" w:sz="4" w:space="0" w:color="auto"/>
            </w:tcBorders>
            <w:shd w:val="clear" w:color="000000" w:fill="D9E1F2"/>
            <w:vAlign w:val="bottom"/>
            <w:hideMark/>
          </w:tcPr>
          <w:p w14:paraId="04D85468"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Błękitne certyfikaty</w:t>
            </w:r>
          </w:p>
        </w:tc>
        <w:tc>
          <w:tcPr>
            <w:tcW w:w="2383" w:type="dxa"/>
            <w:vMerge/>
            <w:tcBorders>
              <w:top w:val="single" w:sz="4" w:space="0" w:color="auto"/>
              <w:left w:val="single" w:sz="4" w:space="0" w:color="auto"/>
              <w:bottom w:val="single" w:sz="4" w:space="0" w:color="auto"/>
              <w:right w:val="single" w:sz="4" w:space="0" w:color="auto"/>
            </w:tcBorders>
            <w:vAlign w:val="center"/>
            <w:hideMark/>
          </w:tcPr>
          <w:p w14:paraId="7A2ADE1D"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r>
      <w:tr w:rsidR="00B64493" w:rsidRPr="00B64493" w14:paraId="32B54116" w14:textId="77777777" w:rsidTr="00F764BE">
        <w:trPr>
          <w:trHeight w:val="296"/>
        </w:trPr>
        <w:tc>
          <w:tcPr>
            <w:tcW w:w="1487"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351A812B"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1</w:t>
            </w:r>
          </w:p>
        </w:tc>
        <w:tc>
          <w:tcPr>
            <w:tcW w:w="1067"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54DA2B62"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2</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50BF237F"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3</w:t>
            </w:r>
          </w:p>
        </w:tc>
        <w:tc>
          <w:tcPr>
            <w:tcW w:w="1251"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4FC19142"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4</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4FEE6DD0"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5</w:t>
            </w:r>
          </w:p>
        </w:tc>
        <w:tc>
          <w:tcPr>
            <w:tcW w:w="1049"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08F7A06E"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6</w:t>
            </w:r>
          </w:p>
        </w:tc>
        <w:tc>
          <w:tcPr>
            <w:tcW w:w="1052"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1ED2439A" w14:textId="77777777" w:rsidR="00B64493" w:rsidRPr="00B64493" w:rsidRDefault="00B64493" w:rsidP="00B64493">
            <w:pPr>
              <w:spacing w:line="240" w:lineRule="auto"/>
              <w:jc w:val="center"/>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7</w:t>
            </w:r>
          </w:p>
        </w:tc>
        <w:tc>
          <w:tcPr>
            <w:tcW w:w="2383" w:type="dxa"/>
            <w:vMerge w:val="restart"/>
            <w:tcBorders>
              <w:top w:val="nil"/>
              <w:left w:val="single" w:sz="4" w:space="0" w:color="auto"/>
              <w:bottom w:val="single" w:sz="4" w:space="0" w:color="000000"/>
              <w:right w:val="single" w:sz="4" w:space="0" w:color="auto"/>
            </w:tcBorders>
            <w:shd w:val="clear" w:color="000000" w:fill="D9E1F2"/>
            <w:noWrap/>
            <w:vAlign w:val="bottom"/>
            <w:hideMark/>
          </w:tcPr>
          <w:p w14:paraId="037821CC" w14:textId="2C13C4AD" w:rsidR="00B64493" w:rsidRPr="00B64493" w:rsidRDefault="00F764BE" w:rsidP="00B64493">
            <w:pPr>
              <w:spacing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2*(3+4+</w:t>
            </w:r>
            <w:r w:rsidR="00B64493" w:rsidRPr="00B64493">
              <w:rPr>
                <w:rFonts w:ascii="Times New Roman" w:eastAsia="Times New Roman" w:hAnsi="Times New Roman"/>
                <w:b/>
                <w:bCs/>
                <w:color w:val="000000"/>
                <w:sz w:val="16"/>
                <w:szCs w:val="16"/>
                <w:lang w:eastAsia="pl-PL"/>
              </w:rPr>
              <w:t>5+6+7)</w:t>
            </w:r>
          </w:p>
        </w:tc>
      </w:tr>
      <w:tr w:rsidR="00B64493" w:rsidRPr="00B64493" w14:paraId="3969F18C" w14:textId="77777777" w:rsidTr="00F764BE">
        <w:trPr>
          <w:trHeight w:val="276"/>
        </w:trPr>
        <w:tc>
          <w:tcPr>
            <w:tcW w:w="1487" w:type="dxa"/>
            <w:vMerge/>
            <w:tcBorders>
              <w:top w:val="nil"/>
              <w:left w:val="single" w:sz="4" w:space="0" w:color="auto"/>
              <w:bottom w:val="single" w:sz="4" w:space="0" w:color="000000"/>
              <w:right w:val="single" w:sz="4" w:space="0" w:color="auto"/>
            </w:tcBorders>
            <w:vAlign w:val="center"/>
            <w:hideMark/>
          </w:tcPr>
          <w:p w14:paraId="6E8EC8BF"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67" w:type="dxa"/>
            <w:vMerge/>
            <w:tcBorders>
              <w:top w:val="nil"/>
              <w:left w:val="single" w:sz="4" w:space="0" w:color="auto"/>
              <w:bottom w:val="single" w:sz="4" w:space="0" w:color="000000"/>
              <w:right w:val="single" w:sz="4" w:space="0" w:color="auto"/>
            </w:tcBorders>
            <w:vAlign w:val="center"/>
            <w:hideMark/>
          </w:tcPr>
          <w:p w14:paraId="76B84CD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1768748D"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251" w:type="dxa"/>
            <w:vMerge/>
            <w:tcBorders>
              <w:top w:val="nil"/>
              <w:left w:val="single" w:sz="4" w:space="0" w:color="auto"/>
              <w:bottom w:val="single" w:sz="4" w:space="0" w:color="000000"/>
              <w:right w:val="single" w:sz="4" w:space="0" w:color="auto"/>
            </w:tcBorders>
            <w:vAlign w:val="center"/>
            <w:hideMark/>
          </w:tcPr>
          <w:p w14:paraId="1D4C11BA"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0A50D182"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49" w:type="dxa"/>
            <w:vMerge/>
            <w:tcBorders>
              <w:top w:val="nil"/>
              <w:left w:val="single" w:sz="4" w:space="0" w:color="auto"/>
              <w:bottom w:val="single" w:sz="4" w:space="0" w:color="000000"/>
              <w:right w:val="single" w:sz="4" w:space="0" w:color="auto"/>
            </w:tcBorders>
            <w:vAlign w:val="center"/>
            <w:hideMark/>
          </w:tcPr>
          <w:p w14:paraId="59821FE6"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1052" w:type="dxa"/>
            <w:vMerge/>
            <w:tcBorders>
              <w:top w:val="nil"/>
              <w:left w:val="single" w:sz="4" w:space="0" w:color="auto"/>
              <w:bottom w:val="single" w:sz="4" w:space="0" w:color="000000"/>
              <w:right w:val="single" w:sz="4" w:space="0" w:color="auto"/>
            </w:tcBorders>
            <w:vAlign w:val="center"/>
            <w:hideMark/>
          </w:tcPr>
          <w:p w14:paraId="700E92D1"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c>
          <w:tcPr>
            <w:tcW w:w="2383" w:type="dxa"/>
            <w:vMerge/>
            <w:tcBorders>
              <w:top w:val="nil"/>
              <w:left w:val="single" w:sz="4" w:space="0" w:color="auto"/>
              <w:bottom w:val="single" w:sz="4" w:space="0" w:color="000000"/>
              <w:right w:val="single" w:sz="4" w:space="0" w:color="auto"/>
            </w:tcBorders>
            <w:vAlign w:val="center"/>
            <w:hideMark/>
          </w:tcPr>
          <w:p w14:paraId="7A235B1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p>
        </w:tc>
      </w:tr>
      <w:tr w:rsidR="00B64493" w:rsidRPr="00B64493" w14:paraId="36565076"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32F918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2024</w:t>
            </w:r>
          </w:p>
        </w:tc>
        <w:tc>
          <w:tcPr>
            <w:tcW w:w="1067" w:type="dxa"/>
            <w:tcBorders>
              <w:top w:val="nil"/>
              <w:left w:val="nil"/>
              <w:bottom w:val="single" w:sz="4" w:space="0" w:color="auto"/>
              <w:right w:val="single" w:sz="4" w:space="0" w:color="auto"/>
            </w:tcBorders>
            <w:shd w:val="clear" w:color="auto" w:fill="auto"/>
            <w:noWrap/>
            <w:vAlign w:val="bottom"/>
            <w:hideMark/>
          </w:tcPr>
          <w:p w14:paraId="52EED237"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465000</w:t>
            </w:r>
          </w:p>
        </w:tc>
        <w:tc>
          <w:tcPr>
            <w:tcW w:w="1049" w:type="dxa"/>
            <w:tcBorders>
              <w:top w:val="nil"/>
              <w:left w:val="nil"/>
              <w:bottom w:val="single" w:sz="4" w:space="0" w:color="auto"/>
              <w:right w:val="single" w:sz="4" w:space="0" w:color="auto"/>
            </w:tcBorders>
            <w:shd w:val="clear" w:color="auto" w:fill="auto"/>
            <w:noWrap/>
            <w:vAlign w:val="bottom"/>
            <w:hideMark/>
          </w:tcPr>
          <w:p w14:paraId="2F03709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202E47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34045984"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25EAE91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3FFC931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57A37F45"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15 721 650,00 zł</w:t>
            </w:r>
          </w:p>
        </w:tc>
      </w:tr>
      <w:tr w:rsidR="00B64493" w:rsidRPr="00B64493" w14:paraId="25D998D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85982E7"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2025</w:t>
            </w:r>
          </w:p>
        </w:tc>
        <w:tc>
          <w:tcPr>
            <w:tcW w:w="1067" w:type="dxa"/>
            <w:tcBorders>
              <w:top w:val="nil"/>
              <w:left w:val="nil"/>
              <w:bottom w:val="single" w:sz="4" w:space="0" w:color="auto"/>
              <w:right w:val="single" w:sz="4" w:space="0" w:color="auto"/>
            </w:tcBorders>
            <w:shd w:val="clear" w:color="auto" w:fill="auto"/>
            <w:noWrap/>
            <w:vAlign w:val="bottom"/>
            <w:hideMark/>
          </w:tcPr>
          <w:p w14:paraId="0CFFAF10"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540000</w:t>
            </w:r>
          </w:p>
        </w:tc>
        <w:tc>
          <w:tcPr>
            <w:tcW w:w="1049" w:type="dxa"/>
            <w:tcBorders>
              <w:top w:val="nil"/>
              <w:left w:val="nil"/>
              <w:bottom w:val="single" w:sz="4" w:space="0" w:color="auto"/>
              <w:right w:val="single" w:sz="4" w:space="0" w:color="auto"/>
            </w:tcBorders>
            <w:shd w:val="clear" w:color="auto" w:fill="auto"/>
            <w:noWrap/>
            <w:vAlign w:val="bottom"/>
            <w:hideMark/>
          </w:tcPr>
          <w:p w14:paraId="47EBB5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8AA742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7E35FD16"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783B32CB"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1218950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541ADE93"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18 257 400,00 zł</w:t>
            </w:r>
          </w:p>
        </w:tc>
      </w:tr>
      <w:tr w:rsidR="00B64493" w:rsidRPr="00B64493" w14:paraId="1AE44C3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7C9A8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2026</w:t>
            </w:r>
          </w:p>
        </w:tc>
        <w:tc>
          <w:tcPr>
            <w:tcW w:w="1067" w:type="dxa"/>
            <w:tcBorders>
              <w:top w:val="nil"/>
              <w:left w:val="nil"/>
              <w:bottom w:val="single" w:sz="4" w:space="0" w:color="auto"/>
              <w:right w:val="single" w:sz="4" w:space="0" w:color="auto"/>
            </w:tcBorders>
            <w:shd w:val="clear" w:color="auto" w:fill="auto"/>
            <w:noWrap/>
            <w:vAlign w:val="bottom"/>
            <w:hideMark/>
          </w:tcPr>
          <w:p w14:paraId="7E5DB6DB"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615000</w:t>
            </w:r>
          </w:p>
        </w:tc>
        <w:tc>
          <w:tcPr>
            <w:tcW w:w="1049" w:type="dxa"/>
            <w:tcBorders>
              <w:top w:val="nil"/>
              <w:left w:val="nil"/>
              <w:bottom w:val="single" w:sz="4" w:space="0" w:color="auto"/>
              <w:right w:val="single" w:sz="4" w:space="0" w:color="auto"/>
            </w:tcBorders>
            <w:shd w:val="clear" w:color="auto" w:fill="auto"/>
            <w:noWrap/>
            <w:vAlign w:val="bottom"/>
            <w:hideMark/>
          </w:tcPr>
          <w:p w14:paraId="6C3CEF7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78BB5E1A"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4715FC5D"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317F4B6F"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7B7DBE6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21FDA65F"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20 793 150,00 zł</w:t>
            </w:r>
          </w:p>
        </w:tc>
      </w:tr>
      <w:tr w:rsidR="00B64493" w:rsidRPr="00B64493" w14:paraId="6D32833D"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34D0C0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2027</w:t>
            </w:r>
          </w:p>
        </w:tc>
        <w:tc>
          <w:tcPr>
            <w:tcW w:w="1067" w:type="dxa"/>
            <w:tcBorders>
              <w:top w:val="nil"/>
              <w:left w:val="nil"/>
              <w:bottom w:val="single" w:sz="4" w:space="0" w:color="auto"/>
              <w:right w:val="single" w:sz="4" w:space="0" w:color="auto"/>
            </w:tcBorders>
            <w:shd w:val="clear" w:color="auto" w:fill="auto"/>
            <w:noWrap/>
            <w:vAlign w:val="bottom"/>
            <w:hideMark/>
          </w:tcPr>
          <w:p w14:paraId="7DD298B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690000</w:t>
            </w:r>
          </w:p>
        </w:tc>
        <w:tc>
          <w:tcPr>
            <w:tcW w:w="1049" w:type="dxa"/>
            <w:tcBorders>
              <w:top w:val="nil"/>
              <w:left w:val="nil"/>
              <w:bottom w:val="single" w:sz="4" w:space="0" w:color="auto"/>
              <w:right w:val="single" w:sz="4" w:space="0" w:color="auto"/>
            </w:tcBorders>
            <w:shd w:val="clear" w:color="auto" w:fill="auto"/>
            <w:noWrap/>
            <w:vAlign w:val="bottom"/>
            <w:hideMark/>
          </w:tcPr>
          <w:p w14:paraId="133AA01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4B1B8D82"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7B108C30"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44DF171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3D854E0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3E0F54BC"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23 328 900,00 zł</w:t>
            </w:r>
          </w:p>
        </w:tc>
      </w:tr>
      <w:tr w:rsidR="00B64493" w:rsidRPr="00B64493" w14:paraId="0254F4BA"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5E1BE49"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2028</w:t>
            </w:r>
          </w:p>
        </w:tc>
        <w:tc>
          <w:tcPr>
            <w:tcW w:w="1067" w:type="dxa"/>
            <w:tcBorders>
              <w:top w:val="nil"/>
              <w:left w:val="nil"/>
              <w:bottom w:val="single" w:sz="4" w:space="0" w:color="auto"/>
              <w:right w:val="single" w:sz="4" w:space="0" w:color="auto"/>
            </w:tcBorders>
            <w:shd w:val="clear" w:color="auto" w:fill="auto"/>
            <w:noWrap/>
            <w:vAlign w:val="bottom"/>
            <w:hideMark/>
          </w:tcPr>
          <w:p w14:paraId="004DCB91"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765000</w:t>
            </w:r>
          </w:p>
        </w:tc>
        <w:tc>
          <w:tcPr>
            <w:tcW w:w="1049" w:type="dxa"/>
            <w:tcBorders>
              <w:top w:val="nil"/>
              <w:left w:val="nil"/>
              <w:bottom w:val="single" w:sz="4" w:space="0" w:color="auto"/>
              <w:right w:val="single" w:sz="4" w:space="0" w:color="auto"/>
            </w:tcBorders>
            <w:shd w:val="clear" w:color="auto" w:fill="auto"/>
            <w:noWrap/>
            <w:vAlign w:val="bottom"/>
            <w:hideMark/>
          </w:tcPr>
          <w:p w14:paraId="4387335F"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34CA981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5B3A2ECE"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62227D5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60301B2C"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308F3E47"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25 864 650,00 zł</w:t>
            </w:r>
          </w:p>
        </w:tc>
      </w:tr>
      <w:tr w:rsidR="00B64493" w:rsidRPr="00B64493" w14:paraId="7945C796" w14:textId="77777777" w:rsidTr="00F764BE">
        <w:trPr>
          <w:trHeight w:val="296"/>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03D294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2029</w:t>
            </w:r>
          </w:p>
        </w:tc>
        <w:tc>
          <w:tcPr>
            <w:tcW w:w="1067" w:type="dxa"/>
            <w:tcBorders>
              <w:top w:val="nil"/>
              <w:left w:val="nil"/>
              <w:bottom w:val="single" w:sz="4" w:space="0" w:color="auto"/>
              <w:right w:val="single" w:sz="4" w:space="0" w:color="auto"/>
            </w:tcBorders>
            <w:shd w:val="clear" w:color="auto" w:fill="auto"/>
            <w:noWrap/>
            <w:vAlign w:val="bottom"/>
            <w:hideMark/>
          </w:tcPr>
          <w:p w14:paraId="1564B0D5"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840000</w:t>
            </w:r>
          </w:p>
        </w:tc>
        <w:tc>
          <w:tcPr>
            <w:tcW w:w="1049" w:type="dxa"/>
            <w:tcBorders>
              <w:top w:val="nil"/>
              <w:left w:val="nil"/>
              <w:bottom w:val="single" w:sz="4" w:space="0" w:color="auto"/>
              <w:right w:val="single" w:sz="4" w:space="0" w:color="auto"/>
            </w:tcBorders>
            <w:shd w:val="clear" w:color="auto" w:fill="auto"/>
            <w:noWrap/>
            <w:vAlign w:val="bottom"/>
            <w:hideMark/>
          </w:tcPr>
          <w:p w14:paraId="52E09C6A"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2,20 zł</w:t>
            </w:r>
          </w:p>
        </w:tc>
        <w:tc>
          <w:tcPr>
            <w:tcW w:w="1251" w:type="dxa"/>
            <w:tcBorders>
              <w:top w:val="nil"/>
              <w:left w:val="nil"/>
              <w:bottom w:val="single" w:sz="4" w:space="0" w:color="auto"/>
              <w:right w:val="single" w:sz="4" w:space="0" w:color="auto"/>
            </w:tcBorders>
            <w:shd w:val="clear" w:color="auto" w:fill="auto"/>
            <w:noWrap/>
            <w:vAlign w:val="bottom"/>
            <w:hideMark/>
          </w:tcPr>
          <w:p w14:paraId="0DDD81D3"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0 zł</w:t>
            </w:r>
          </w:p>
        </w:tc>
        <w:tc>
          <w:tcPr>
            <w:tcW w:w="1049" w:type="dxa"/>
            <w:tcBorders>
              <w:top w:val="nil"/>
              <w:left w:val="nil"/>
              <w:bottom w:val="single" w:sz="4" w:space="0" w:color="auto"/>
              <w:right w:val="single" w:sz="4" w:space="0" w:color="auto"/>
            </w:tcBorders>
            <w:shd w:val="clear" w:color="auto" w:fill="auto"/>
            <w:noWrap/>
            <w:vAlign w:val="bottom"/>
            <w:hideMark/>
          </w:tcPr>
          <w:p w14:paraId="05CA4409"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27,42 zł</w:t>
            </w:r>
          </w:p>
        </w:tc>
        <w:tc>
          <w:tcPr>
            <w:tcW w:w="1049" w:type="dxa"/>
            <w:tcBorders>
              <w:top w:val="nil"/>
              <w:left w:val="nil"/>
              <w:bottom w:val="single" w:sz="4" w:space="0" w:color="auto"/>
              <w:right w:val="single" w:sz="4" w:space="0" w:color="auto"/>
            </w:tcBorders>
            <w:shd w:val="clear" w:color="auto" w:fill="auto"/>
            <w:noWrap/>
            <w:vAlign w:val="bottom"/>
            <w:hideMark/>
          </w:tcPr>
          <w:p w14:paraId="3BA0D294"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2,68 zł</w:t>
            </w:r>
          </w:p>
        </w:tc>
        <w:tc>
          <w:tcPr>
            <w:tcW w:w="1052" w:type="dxa"/>
            <w:tcBorders>
              <w:top w:val="nil"/>
              <w:left w:val="nil"/>
              <w:bottom w:val="single" w:sz="4" w:space="0" w:color="auto"/>
              <w:right w:val="single" w:sz="4" w:space="0" w:color="auto"/>
            </w:tcBorders>
            <w:shd w:val="clear" w:color="auto" w:fill="auto"/>
            <w:noWrap/>
            <w:vAlign w:val="bottom"/>
            <w:hideMark/>
          </w:tcPr>
          <w:p w14:paraId="23BB5248" w14:textId="77777777" w:rsidR="00B64493" w:rsidRPr="00B64493" w:rsidRDefault="00B64493" w:rsidP="00B64493">
            <w:pPr>
              <w:spacing w:line="240" w:lineRule="auto"/>
              <w:jc w:val="right"/>
              <w:rPr>
                <w:rFonts w:ascii="Times New Roman" w:eastAsia="Times New Roman" w:hAnsi="Times New Roman"/>
                <w:color w:val="000000"/>
                <w:sz w:val="16"/>
                <w:szCs w:val="16"/>
                <w:lang w:eastAsia="pl-PL"/>
              </w:rPr>
            </w:pPr>
            <w:r w:rsidRPr="00B64493">
              <w:rPr>
                <w:rFonts w:ascii="Times New Roman" w:eastAsia="Times New Roman" w:hAnsi="Times New Roman"/>
                <w:color w:val="000000"/>
                <w:sz w:val="16"/>
                <w:szCs w:val="16"/>
                <w:lang w:eastAsia="pl-PL"/>
              </w:rPr>
              <w:t>1,51 zł</w:t>
            </w:r>
          </w:p>
        </w:tc>
        <w:tc>
          <w:tcPr>
            <w:tcW w:w="2383" w:type="dxa"/>
            <w:tcBorders>
              <w:top w:val="nil"/>
              <w:left w:val="nil"/>
              <w:bottom w:val="single" w:sz="4" w:space="0" w:color="auto"/>
              <w:right w:val="single" w:sz="4" w:space="0" w:color="auto"/>
            </w:tcBorders>
            <w:shd w:val="clear" w:color="auto" w:fill="auto"/>
            <w:noWrap/>
            <w:vAlign w:val="bottom"/>
            <w:hideMark/>
          </w:tcPr>
          <w:p w14:paraId="645057D1" w14:textId="77777777" w:rsidR="00B64493" w:rsidRPr="00B64493" w:rsidRDefault="00B64493" w:rsidP="00B64493">
            <w:pPr>
              <w:spacing w:line="240" w:lineRule="auto"/>
              <w:jc w:val="right"/>
              <w:rPr>
                <w:rFonts w:ascii="Times New Roman" w:eastAsia="Times New Roman" w:hAnsi="Times New Roman"/>
                <w:sz w:val="16"/>
                <w:szCs w:val="16"/>
                <w:lang w:eastAsia="pl-PL"/>
              </w:rPr>
            </w:pPr>
            <w:r w:rsidRPr="00B64493">
              <w:rPr>
                <w:rFonts w:ascii="Times New Roman" w:eastAsia="Times New Roman" w:hAnsi="Times New Roman"/>
                <w:sz w:val="16"/>
                <w:szCs w:val="16"/>
                <w:lang w:eastAsia="pl-PL"/>
              </w:rPr>
              <w:t>28 400 400,00 zł</w:t>
            </w:r>
          </w:p>
        </w:tc>
      </w:tr>
      <w:tr w:rsidR="00B64493" w:rsidRPr="00B64493" w14:paraId="6A223888" w14:textId="77777777" w:rsidTr="00F764BE">
        <w:trPr>
          <w:trHeight w:val="296"/>
        </w:trPr>
        <w:tc>
          <w:tcPr>
            <w:tcW w:w="1487" w:type="dxa"/>
            <w:tcBorders>
              <w:top w:val="nil"/>
              <w:left w:val="single" w:sz="4" w:space="0" w:color="auto"/>
              <w:bottom w:val="single" w:sz="4" w:space="0" w:color="auto"/>
              <w:right w:val="single" w:sz="4" w:space="0" w:color="auto"/>
            </w:tcBorders>
            <w:shd w:val="clear" w:color="000000" w:fill="D9E1F2"/>
            <w:noWrap/>
            <w:vAlign w:val="bottom"/>
            <w:hideMark/>
          </w:tcPr>
          <w:p w14:paraId="0506BD7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Suma</w:t>
            </w:r>
          </w:p>
        </w:tc>
        <w:tc>
          <w:tcPr>
            <w:tcW w:w="1067" w:type="dxa"/>
            <w:tcBorders>
              <w:top w:val="nil"/>
              <w:left w:val="nil"/>
              <w:bottom w:val="single" w:sz="4" w:space="0" w:color="auto"/>
              <w:right w:val="single" w:sz="4" w:space="0" w:color="auto"/>
            </w:tcBorders>
            <w:shd w:val="clear" w:color="000000" w:fill="D9E1F2"/>
            <w:noWrap/>
            <w:vAlign w:val="bottom"/>
            <w:hideMark/>
          </w:tcPr>
          <w:p w14:paraId="6E9EDDA2" w14:textId="7903B4F6" w:rsidR="00B64493" w:rsidRPr="00B64493" w:rsidRDefault="00F764BE" w:rsidP="00B64493">
            <w:pPr>
              <w:spacing w:line="240" w:lineRule="auto"/>
              <w:jc w:val="right"/>
              <w:rPr>
                <w:rFonts w:ascii="Times New Roman" w:eastAsia="Times New Roman" w:hAnsi="Times New Roman"/>
                <w:b/>
                <w:bCs/>
                <w:color w:val="000000"/>
                <w:sz w:val="16"/>
                <w:szCs w:val="16"/>
                <w:lang w:eastAsia="pl-PL"/>
              </w:rPr>
            </w:pPr>
            <w:r w:rsidRPr="00F764BE">
              <w:rPr>
                <w:rFonts w:ascii="Times New Roman" w:eastAsia="Times New Roman" w:hAnsi="Times New Roman"/>
                <w:b/>
                <w:bCs/>
                <w:color w:val="000000"/>
                <w:sz w:val="16"/>
                <w:szCs w:val="16"/>
                <w:lang w:eastAsia="pl-PL"/>
              </w:rPr>
              <w:t>3 915 000</w:t>
            </w:r>
          </w:p>
        </w:tc>
        <w:tc>
          <w:tcPr>
            <w:tcW w:w="1049" w:type="dxa"/>
            <w:tcBorders>
              <w:top w:val="nil"/>
              <w:left w:val="nil"/>
              <w:bottom w:val="single" w:sz="4" w:space="0" w:color="auto"/>
              <w:right w:val="single" w:sz="4" w:space="0" w:color="auto"/>
            </w:tcBorders>
            <w:shd w:val="clear" w:color="auto" w:fill="auto"/>
            <w:noWrap/>
            <w:vAlign w:val="bottom"/>
            <w:hideMark/>
          </w:tcPr>
          <w:p w14:paraId="5FA98F87"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251" w:type="dxa"/>
            <w:tcBorders>
              <w:top w:val="nil"/>
              <w:left w:val="nil"/>
              <w:bottom w:val="single" w:sz="4" w:space="0" w:color="auto"/>
              <w:right w:val="single" w:sz="4" w:space="0" w:color="auto"/>
            </w:tcBorders>
            <w:shd w:val="clear" w:color="auto" w:fill="auto"/>
            <w:noWrap/>
            <w:vAlign w:val="bottom"/>
            <w:hideMark/>
          </w:tcPr>
          <w:p w14:paraId="06F41BAB"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D618A1"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797BCA7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52" w:type="dxa"/>
            <w:tcBorders>
              <w:top w:val="nil"/>
              <w:left w:val="nil"/>
              <w:bottom w:val="single" w:sz="4" w:space="0" w:color="auto"/>
              <w:right w:val="single" w:sz="4" w:space="0" w:color="auto"/>
            </w:tcBorders>
            <w:shd w:val="clear" w:color="auto" w:fill="auto"/>
            <w:noWrap/>
            <w:vAlign w:val="bottom"/>
            <w:hideMark/>
          </w:tcPr>
          <w:p w14:paraId="1D12A88C"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2383" w:type="dxa"/>
            <w:tcBorders>
              <w:top w:val="nil"/>
              <w:left w:val="nil"/>
              <w:bottom w:val="single" w:sz="4" w:space="0" w:color="auto"/>
              <w:right w:val="single" w:sz="4" w:space="0" w:color="auto"/>
            </w:tcBorders>
            <w:shd w:val="clear" w:color="000000" w:fill="D9E1F2"/>
            <w:noWrap/>
            <w:vAlign w:val="bottom"/>
            <w:hideMark/>
          </w:tcPr>
          <w:p w14:paraId="6FD8C59E" w14:textId="2E4658B0" w:rsidR="00B64493" w:rsidRPr="00B64493" w:rsidRDefault="00F764BE" w:rsidP="00B64493">
            <w:pPr>
              <w:spacing w:line="240" w:lineRule="auto"/>
              <w:jc w:val="right"/>
              <w:rPr>
                <w:rFonts w:ascii="Times New Roman" w:eastAsia="Times New Roman" w:hAnsi="Times New Roman"/>
                <w:b/>
                <w:bCs/>
                <w:sz w:val="16"/>
                <w:szCs w:val="16"/>
                <w:lang w:eastAsia="pl-PL"/>
              </w:rPr>
            </w:pPr>
            <w:r w:rsidRPr="00F764BE">
              <w:rPr>
                <w:rFonts w:ascii="Times New Roman" w:eastAsia="Times New Roman" w:hAnsi="Times New Roman"/>
                <w:b/>
                <w:bCs/>
                <w:sz w:val="16"/>
                <w:szCs w:val="16"/>
                <w:lang w:eastAsia="pl-PL"/>
              </w:rPr>
              <w:t>132 366 150,00</w:t>
            </w:r>
            <w:r>
              <w:rPr>
                <w:rFonts w:ascii="Times New Roman" w:eastAsia="Times New Roman" w:hAnsi="Times New Roman"/>
                <w:b/>
                <w:bCs/>
                <w:sz w:val="16"/>
                <w:szCs w:val="16"/>
                <w:lang w:eastAsia="pl-PL"/>
              </w:rPr>
              <w:t xml:space="preserve"> </w:t>
            </w:r>
            <w:r w:rsidRPr="00F764BE">
              <w:rPr>
                <w:rFonts w:ascii="Times New Roman" w:eastAsia="Times New Roman" w:hAnsi="Times New Roman"/>
                <w:b/>
                <w:bCs/>
                <w:sz w:val="16"/>
                <w:szCs w:val="16"/>
                <w:lang w:eastAsia="pl-PL"/>
              </w:rPr>
              <w:t>zł</w:t>
            </w:r>
          </w:p>
        </w:tc>
      </w:tr>
      <w:tr w:rsidR="00B64493" w:rsidRPr="00B64493" w14:paraId="1C4E6EF6" w14:textId="77777777" w:rsidTr="00F764BE">
        <w:trPr>
          <w:trHeight w:val="296"/>
        </w:trPr>
        <w:tc>
          <w:tcPr>
            <w:tcW w:w="1487" w:type="dxa"/>
            <w:tcBorders>
              <w:top w:val="nil"/>
              <w:left w:val="single" w:sz="4" w:space="0" w:color="auto"/>
              <w:bottom w:val="single" w:sz="4" w:space="0" w:color="auto"/>
              <w:right w:val="single" w:sz="4" w:space="0" w:color="auto"/>
            </w:tcBorders>
            <w:shd w:val="clear" w:color="000000" w:fill="D9E1F2"/>
            <w:noWrap/>
            <w:vAlign w:val="bottom"/>
            <w:hideMark/>
          </w:tcPr>
          <w:p w14:paraId="3DDF963E"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Średnio na 1 MWh</w:t>
            </w:r>
          </w:p>
        </w:tc>
        <w:tc>
          <w:tcPr>
            <w:tcW w:w="1067" w:type="dxa"/>
            <w:tcBorders>
              <w:top w:val="nil"/>
              <w:left w:val="nil"/>
              <w:bottom w:val="single" w:sz="4" w:space="0" w:color="auto"/>
              <w:right w:val="single" w:sz="4" w:space="0" w:color="auto"/>
            </w:tcBorders>
            <w:shd w:val="clear" w:color="auto" w:fill="auto"/>
            <w:noWrap/>
            <w:vAlign w:val="bottom"/>
            <w:hideMark/>
          </w:tcPr>
          <w:p w14:paraId="4593A46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4C1637F7"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251" w:type="dxa"/>
            <w:tcBorders>
              <w:top w:val="nil"/>
              <w:left w:val="nil"/>
              <w:bottom w:val="single" w:sz="4" w:space="0" w:color="auto"/>
              <w:right w:val="single" w:sz="4" w:space="0" w:color="auto"/>
            </w:tcBorders>
            <w:shd w:val="clear" w:color="auto" w:fill="auto"/>
            <w:noWrap/>
            <w:vAlign w:val="bottom"/>
            <w:hideMark/>
          </w:tcPr>
          <w:p w14:paraId="0B6DDBF2"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109B84E5"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49" w:type="dxa"/>
            <w:tcBorders>
              <w:top w:val="nil"/>
              <w:left w:val="nil"/>
              <w:bottom w:val="single" w:sz="4" w:space="0" w:color="auto"/>
              <w:right w:val="single" w:sz="4" w:space="0" w:color="auto"/>
            </w:tcBorders>
            <w:shd w:val="clear" w:color="auto" w:fill="auto"/>
            <w:noWrap/>
            <w:vAlign w:val="bottom"/>
            <w:hideMark/>
          </w:tcPr>
          <w:p w14:paraId="3945FE96"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1052" w:type="dxa"/>
            <w:tcBorders>
              <w:top w:val="nil"/>
              <w:left w:val="nil"/>
              <w:bottom w:val="single" w:sz="4" w:space="0" w:color="auto"/>
              <w:right w:val="single" w:sz="4" w:space="0" w:color="auto"/>
            </w:tcBorders>
            <w:shd w:val="clear" w:color="auto" w:fill="auto"/>
            <w:noWrap/>
            <w:vAlign w:val="bottom"/>
            <w:hideMark/>
          </w:tcPr>
          <w:p w14:paraId="4D449F93" w14:textId="77777777" w:rsidR="00B64493" w:rsidRPr="00B64493" w:rsidRDefault="00B64493" w:rsidP="00B64493">
            <w:pPr>
              <w:spacing w:line="240" w:lineRule="auto"/>
              <w:rPr>
                <w:rFonts w:ascii="Times New Roman" w:eastAsia="Times New Roman" w:hAnsi="Times New Roman"/>
                <w:b/>
                <w:bCs/>
                <w:color w:val="000000"/>
                <w:sz w:val="16"/>
                <w:szCs w:val="16"/>
                <w:lang w:eastAsia="pl-PL"/>
              </w:rPr>
            </w:pPr>
            <w:r w:rsidRPr="00B64493">
              <w:rPr>
                <w:rFonts w:ascii="Times New Roman" w:eastAsia="Times New Roman" w:hAnsi="Times New Roman"/>
                <w:b/>
                <w:bCs/>
                <w:color w:val="000000"/>
                <w:sz w:val="16"/>
                <w:szCs w:val="16"/>
                <w:lang w:eastAsia="pl-PL"/>
              </w:rPr>
              <w:t> </w:t>
            </w:r>
          </w:p>
        </w:tc>
        <w:tc>
          <w:tcPr>
            <w:tcW w:w="2383" w:type="dxa"/>
            <w:tcBorders>
              <w:top w:val="nil"/>
              <w:left w:val="nil"/>
              <w:bottom w:val="single" w:sz="4" w:space="0" w:color="auto"/>
              <w:right w:val="single" w:sz="4" w:space="0" w:color="auto"/>
            </w:tcBorders>
            <w:shd w:val="clear" w:color="000000" w:fill="D9E1F2"/>
            <w:noWrap/>
            <w:vAlign w:val="bottom"/>
            <w:hideMark/>
          </w:tcPr>
          <w:p w14:paraId="5CAAB77F" w14:textId="77777777" w:rsidR="00B64493" w:rsidRPr="00B64493" w:rsidRDefault="00B64493" w:rsidP="00B64493">
            <w:pPr>
              <w:spacing w:line="240" w:lineRule="auto"/>
              <w:jc w:val="right"/>
              <w:rPr>
                <w:rFonts w:ascii="Times New Roman" w:eastAsia="Times New Roman" w:hAnsi="Times New Roman"/>
                <w:b/>
                <w:bCs/>
                <w:sz w:val="16"/>
                <w:szCs w:val="16"/>
                <w:lang w:eastAsia="pl-PL"/>
              </w:rPr>
            </w:pPr>
            <w:r w:rsidRPr="00B64493">
              <w:rPr>
                <w:rFonts w:ascii="Times New Roman" w:eastAsia="Times New Roman" w:hAnsi="Times New Roman"/>
                <w:b/>
                <w:bCs/>
                <w:sz w:val="16"/>
                <w:szCs w:val="16"/>
                <w:lang w:eastAsia="pl-PL"/>
              </w:rPr>
              <w:t>33,81 zł</w:t>
            </w:r>
          </w:p>
        </w:tc>
      </w:tr>
    </w:tbl>
    <w:p w14:paraId="17A3D414" w14:textId="77777777" w:rsidR="002020BA" w:rsidRPr="00687093" w:rsidRDefault="002020BA" w:rsidP="00BF0F4C">
      <w:pPr>
        <w:spacing w:before="120" w:line="240" w:lineRule="auto"/>
        <w:rPr>
          <w:rFonts w:ascii="Times New Roman" w:hAnsi="Times New Roman"/>
          <w:i/>
          <w:sz w:val="20"/>
        </w:rPr>
      </w:pPr>
      <w:r w:rsidRPr="00687093">
        <w:rPr>
          <w:rFonts w:ascii="Times New Roman" w:hAnsi="Times New Roman"/>
          <w:i/>
          <w:sz w:val="20"/>
        </w:rPr>
        <w:t xml:space="preserve">Źródło: opracowanie własne Ministerstwa Klimatu i Środowiska. </w:t>
      </w:r>
    </w:p>
    <w:p w14:paraId="31DC5DBD" w14:textId="77777777" w:rsidR="009E1D33" w:rsidRDefault="009E1D33" w:rsidP="002020BA">
      <w:pPr>
        <w:spacing w:line="240" w:lineRule="auto"/>
        <w:jc w:val="both"/>
        <w:rPr>
          <w:rFonts w:ascii="Times New Roman" w:hAnsi="Times New Roman"/>
          <w:i/>
          <w:sz w:val="20"/>
        </w:rPr>
      </w:pPr>
    </w:p>
    <w:p w14:paraId="030BC7C1" w14:textId="6C205E30"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Do obliczeń przyjęto poziom energii objęty instrumentami wsparcia na podstawie szacunków dokonanych przez KIKE. Poziom opłaty OZE przyjęto zgodnie z danymi Prezesa URE </w:t>
      </w:r>
      <w:r w:rsidR="0070371E">
        <w:rPr>
          <w:rFonts w:ascii="Times New Roman" w:hAnsi="Times New Roman"/>
          <w:i/>
          <w:sz w:val="20"/>
        </w:rPr>
        <w:t xml:space="preserve">za 2021 rok </w:t>
      </w:r>
      <w:r w:rsidRPr="00687093">
        <w:rPr>
          <w:rFonts w:ascii="Times New Roman" w:hAnsi="Times New Roman"/>
          <w:i/>
          <w:sz w:val="20"/>
        </w:rPr>
        <w:t>(</w:t>
      </w:r>
      <w:hyperlink r:id="rId26" w:history="1">
        <w:r w:rsidRPr="00687093">
          <w:rPr>
            <w:rStyle w:val="Hipercze"/>
            <w:rFonts w:ascii="Times New Roman" w:hAnsi="Times New Roman"/>
            <w:i/>
            <w:sz w:val="20"/>
          </w:rPr>
          <w:t>https://www.ure.gov.pl/pl/oze/stawki-oplaty-oze/7857,Wysokosci-stawki-oplaty-OZE-na-dany-rok-kalendarzowy.html</w:t>
        </w:r>
      </w:hyperlink>
      <w:r w:rsidRPr="00687093">
        <w:rPr>
          <w:rFonts w:ascii="Times New Roman" w:hAnsi="Times New Roman"/>
          <w:i/>
          <w:sz w:val="20"/>
        </w:rPr>
        <w:t>).</w:t>
      </w:r>
    </w:p>
    <w:p w14:paraId="75FAEB56"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Poziom opłaty kogeneracyjnej został przyjęty zgodnie z rozporządzeniem Ministra Klimatu i Środowiska o sprawie wysokości stawki opłaty kogeneracyjnej na rok 2021. </w:t>
      </w:r>
    </w:p>
    <w:p w14:paraId="3623333D"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Ceny praw majątkowych wyznaczone zostały przy następujących założeniach: </w:t>
      </w:r>
    </w:p>
    <w:p w14:paraId="7F71726A"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 xml:space="preserve">Zielone certyfikaty – cena 140,60 i 19,5% udział prawa majątkowego w 2020 r. </w:t>
      </w:r>
    </w:p>
    <w:p w14:paraId="3E3F42BF" w14:textId="77777777" w:rsidR="002020BA" w:rsidRPr="00687093" w:rsidRDefault="002020BA" w:rsidP="002020BA">
      <w:pPr>
        <w:spacing w:line="240" w:lineRule="auto"/>
        <w:jc w:val="both"/>
        <w:rPr>
          <w:rFonts w:ascii="Times New Roman" w:hAnsi="Times New Roman"/>
          <w:i/>
          <w:sz w:val="20"/>
        </w:rPr>
      </w:pPr>
      <w:r w:rsidRPr="00687093">
        <w:rPr>
          <w:rFonts w:ascii="Times New Roman" w:hAnsi="Times New Roman"/>
          <w:i/>
          <w:sz w:val="20"/>
        </w:rPr>
        <w:t>Białe certyfikaty 1785,00 zł i 1,5% udział prawa majątkowego w 2020 r.</w:t>
      </w:r>
    </w:p>
    <w:p w14:paraId="1BF06524" w14:textId="77777777" w:rsidR="002020BA" w:rsidRDefault="002020BA" w:rsidP="002020BA">
      <w:pPr>
        <w:spacing w:line="240" w:lineRule="auto"/>
        <w:rPr>
          <w:rFonts w:ascii="Times New Roman" w:hAnsi="Times New Roman"/>
          <w:i/>
          <w:sz w:val="20"/>
        </w:rPr>
      </w:pPr>
      <w:r w:rsidRPr="00687093">
        <w:rPr>
          <w:rFonts w:ascii="Times New Roman" w:hAnsi="Times New Roman"/>
          <w:i/>
          <w:sz w:val="20"/>
        </w:rPr>
        <w:t xml:space="preserve">Błękitne certyfikaty – cena 301,50 i 0,5% udział prawa majątkowego w 2020 r. </w:t>
      </w:r>
    </w:p>
    <w:p w14:paraId="7064E20E" w14:textId="77777777" w:rsidR="002020BA" w:rsidRPr="00687093" w:rsidRDefault="002020BA" w:rsidP="002020BA">
      <w:pPr>
        <w:spacing w:line="240" w:lineRule="auto"/>
        <w:jc w:val="both"/>
        <w:rPr>
          <w:rFonts w:ascii="Times New Roman" w:eastAsia="Times New Roman" w:hAnsi="Times New Roman"/>
          <w:bCs/>
          <w:kern w:val="32"/>
          <w:lang w:eastAsia="pl-PL"/>
        </w:rPr>
      </w:pPr>
    </w:p>
    <w:p w14:paraId="694113F7" w14:textId="77777777" w:rsidR="002020BA" w:rsidRPr="00AA4699" w:rsidRDefault="002020BA" w:rsidP="002020BA">
      <w:pPr>
        <w:spacing w:after="80" w:line="240" w:lineRule="auto"/>
        <w:jc w:val="both"/>
        <w:rPr>
          <w:rFonts w:ascii="Times New Roman" w:hAnsi="Times New Roman"/>
        </w:rPr>
      </w:pPr>
      <w:r w:rsidRPr="00AA4699">
        <w:rPr>
          <w:rFonts w:ascii="Times New Roman" w:hAnsi="Times New Roman"/>
        </w:rPr>
        <w:t xml:space="preserve">Projektowane wsparcie dla klastrów energii będzie związane ze zmniejszeniem obciążeń </w:t>
      </w:r>
      <w:r>
        <w:rPr>
          <w:rFonts w:ascii="Times New Roman" w:hAnsi="Times New Roman"/>
        </w:rPr>
        <w:t xml:space="preserve">wynikających z </w:t>
      </w:r>
      <w:r w:rsidRPr="00AA4699">
        <w:rPr>
          <w:rFonts w:ascii="Times New Roman" w:hAnsi="Times New Roman"/>
        </w:rPr>
        <w:t>opłaty dystrybucyjnej dla członków klastra energii dla energii wytworzonej z</w:t>
      </w:r>
      <w:r>
        <w:rPr>
          <w:rFonts w:ascii="Times New Roman" w:hAnsi="Times New Roman"/>
        </w:rPr>
        <w:t xml:space="preserve"> OZE i skonsumowanej w klastrze</w:t>
      </w:r>
      <w:r w:rsidRPr="00AA4699">
        <w:rPr>
          <w:rFonts w:ascii="Times New Roman" w:hAnsi="Times New Roman"/>
        </w:rPr>
        <w:t xml:space="preserve">. Wartość ta będzie dzielona w klastrze pomiędzy podmioty wytwarzające energię i </w:t>
      </w:r>
      <w:r>
        <w:rPr>
          <w:rFonts w:ascii="Times New Roman" w:hAnsi="Times New Roman"/>
        </w:rPr>
        <w:t xml:space="preserve">jej </w:t>
      </w:r>
      <w:r w:rsidRPr="00AA4699">
        <w:rPr>
          <w:rFonts w:ascii="Times New Roman" w:hAnsi="Times New Roman"/>
        </w:rPr>
        <w:t xml:space="preserve">odbiorców. </w:t>
      </w:r>
    </w:p>
    <w:p w14:paraId="00A7E5B1" w14:textId="77777777" w:rsidR="002020BA" w:rsidRDefault="002020BA" w:rsidP="002020BA">
      <w:pPr>
        <w:spacing w:after="80" w:line="240" w:lineRule="auto"/>
        <w:jc w:val="both"/>
        <w:rPr>
          <w:rFonts w:ascii="Times New Roman" w:hAnsi="Times New Roman"/>
        </w:rPr>
      </w:pPr>
      <w:r>
        <w:rPr>
          <w:rFonts w:ascii="Times New Roman" w:hAnsi="Times New Roman"/>
        </w:rPr>
        <w:t xml:space="preserve">Wejście w życie projektowanych przepisów powoduje, że sprzedawca energii </w:t>
      </w:r>
      <w:r w:rsidRPr="00AA4699">
        <w:rPr>
          <w:rFonts w:ascii="Times New Roman" w:hAnsi="Times New Roman"/>
        </w:rPr>
        <w:t>zostanie zwolniony z obowiązku naliczani</w:t>
      </w:r>
      <w:r>
        <w:rPr>
          <w:rFonts w:ascii="Times New Roman" w:hAnsi="Times New Roman"/>
        </w:rPr>
        <w:t>a i uiszczania opłaty OZE oraz</w:t>
      </w:r>
      <w:r w:rsidRPr="00AA4699">
        <w:rPr>
          <w:rFonts w:ascii="Times New Roman" w:hAnsi="Times New Roman"/>
        </w:rPr>
        <w:t xml:space="preserve"> opłaty kogeneracyjnej dla wolumenu energii wytwarzanej z OZE. Jednocześnie cały wolumen energii wytworzonej z OZE w ramach klastra energii zostaje zwolniony z konieczności umarzania świadectw pochodzenia energii. </w:t>
      </w:r>
    </w:p>
    <w:p w14:paraId="44236D8D" w14:textId="77777777" w:rsidR="002020BA" w:rsidRDefault="002020BA" w:rsidP="002020BA">
      <w:pPr>
        <w:spacing w:after="80" w:line="240" w:lineRule="auto"/>
        <w:jc w:val="both"/>
        <w:rPr>
          <w:rFonts w:ascii="Times New Roman" w:hAnsi="Times New Roman"/>
        </w:rPr>
      </w:pPr>
      <w:r>
        <w:rPr>
          <w:rFonts w:ascii="Times New Roman" w:hAnsi="Times New Roman"/>
        </w:rPr>
        <w:lastRenderedPageBreak/>
        <w:t>W celu obliczenia</w:t>
      </w:r>
      <w:r w:rsidRPr="00AA4699">
        <w:rPr>
          <w:rFonts w:ascii="Times New Roman" w:hAnsi="Times New Roman"/>
        </w:rPr>
        <w:t xml:space="preserve"> wa</w:t>
      </w:r>
      <w:r>
        <w:rPr>
          <w:rFonts w:ascii="Times New Roman" w:hAnsi="Times New Roman"/>
        </w:rPr>
        <w:t>rtości korzyści wynikających</w:t>
      </w:r>
      <w:r w:rsidRPr="00AA4699">
        <w:rPr>
          <w:rFonts w:ascii="Times New Roman" w:hAnsi="Times New Roman"/>
        </w:rPr>
        <w:t xml:space="preserve"> ze zwolnienia energii wytworzonej i skonsumowanej w ramach klastra energii z opłat z tytułu umarzania certyfikatów wyznaczono ich wartość w rachunku odbiorcy końcowego. Ceny certyfikatów przyjęte zostały z danych giełdowych, procentowy udział prawa majątkowego – zgodnie z założeniami na rok 2020. W przypadku zielonych i błękitnych certyfikatów </w:t>
      </w:r>
      <w:r>
        <w:rPr>
          <w:rFonts w:ascii="Times New Roman" w:hAnsi="Times New Roman"/>
        </w:rPr>
        <w:t xml:space="preserve">stanowi to </w:t>
      </w:r>
      <w:r w:rsidRPr="00AA4699">
        <w:rPr>
          <w:rFonts w:ascii="Times New Roman" w:hAnsi="Times New Roman"/>
        </w:rPr>
        <w:t xml:space="preserve">iloczyn ceny certyfikatu i </w:t>
      </w:r>
      <w:r>
        <w:rPr>
          <w:rFonts w:ascii="Times New Roman" w:hAnsi="Times New Roman"/>
        </w:rPr>
        <w:t xml:space="preserve">ww. </w:t>
      </w:r>
      <w:r w:rsidRPr="00AA4699">
        <w:rPr>
          <w:rFonts w:ascii="Times New Roman" w:hAnsi="Times New Roman"/>
        </w:rPr>
        <w:t xml:space="preserve">procentowego udziału, zaś dla wyznaczenia wartości białych certyfikatów wykorzystano wzór. </w:t>
      </w:r>
    </w:p>
    <w:p w14:paraId="1E2E812F" w14:textId="41F75407" w:rsidR="002020BA" w:rsidRPr="00AA4699" w:rsidRDefault="002020BA" w:rsidP="002020BA">
      <w:pPr>
        <w:spacing w:after="80" w:line="240" w:lineRule="auto"/>
        <w:jc w:val="both"/>
        <w:rPr>
          <w:rFonts w:ascii="Times New Roman" w:hAnsi="Times New Roman"/>
        </w:rPr>
      </w:pPr>
      <w:r w:rsidRPr="00AA4699">
        <w:rPr>
          <w:rFonts w:ascii="Times New Roman" w:hAnsi="Times New Roman"/>
        </w:rPr>
        <w:t>Tak wyznaczone wartości stanowią odzwierciedle</w:t>
      </w:r>
      <w:r>
        <w:rPr>
          <w:rFonts w:ascii="Times New Roman" w:hAnsi="Times New Roman"/>
        </w:rPr>
        <w:t>nie tych skład</w:t>
      </w:r>
      <w:r w:rsidR="00A6616E">
        <w:rPr>
          <w:rFonts w:ascii="Times New Roman" w:hAnsi="Times New Roman"/>
        </w:rPr>
        <w:t>ników w rachunku powodując</w:t>
      </w:r>
      <w:r>
        <w:rPr>
          <w:rFonts w:ascii="Times New Roman" w:hAnsi="Times New Roman"/>
        </w:rPr>
        <w:t xml:space="preserve"> określoną korzyść finansową</w:t>
      </w:r>
      <w:r w:rsidR="003C3BB3">
        <w:rPr>
          <w:rFonts w:ascii="Times New Roman" w:hAnsi="Times New Roman"/>
        </w:rPr>
        <w:t>.</w:t>
      </w:r>
      <w:r w:rsidR="00253E6F">
        <w:rPr>
          <w:rFonts w:ascii="Times New Roman" w:hAnsi="Times New Roman"/>
        </w:rPr>
        <w:t xml:space="preserve"> </w:t>
      </w:r>
      <w:r w:rsidR="005E7C4D">
        <w:rPr>
          <w:rFonts w:ascii="Times New Roman" w:hAnsi="Times New Roman"/>
        </w:rPr>
        <w:t>Szacuje się, że będzie to k</w:t>
      </w:r>
      <w:r>
        <w:rPr>
          <w:rFonts w:ascii="Times New Roman" w:hAnsi="Times New Roman"/>
        </w:rPr>
        <w:t>wota ok</w:t>
      </w:r>
      <w:r w:rsidR="005E7C4D">
        <w:rPr>
          <w:rFonts w:ascii="Times New Roman" w:hAnsi="Times New Roman"/>
        </w:rPr>
        <w:t>.</w:t>
      </w:r>
      <w:r>
        <w:rPr>
          <w:rFonts w:ascii="Times New Roman" w:hAnsi="Times New Roman"/>
        </w:rPr>
        <w:t xml:space="preserve"> 33,81 zł/</w:t>
      </w:r>
      <w:r w:rsidRPr="00AA4699">
        <w:rPr>
          <w:rFonts w:ascii="Times New Roman" w:hAnsi="Times New Roman"/>
        </w:rPr>
        <w:t>MWh</w:t>
      </w:r>
      <w:r w:rsidR="005E7C4D">
        <w:rPr>
          <w:rFonts w:ascii="Times New Roman" w:hAnsi="Times New Roman"/>
        </w:rPr>
        <w:t>, która</w:t>
      </w:r>
      <w:r w:rsidRPr="00AA4699">
        <w:rPr>
          <w:rFonts w:ascii="Times New Roman" w:hAnsi="Times New Roman"/>
        </w:rPr>
        <w:t xml:space="preserve"> będzie mogła zostać podzielona w klastrze na w</w:t>
      </w:r>
      <w:r>
        <w:rPr>
          <w:rFonts w:ascii="Times New Roman" w:hAnsi="Times New Roman"/>
        </w:rPr>
        <w:t>ytwórcę i odbiorcę - z</w:t>
      </w:r>
      <w:r w:rsidRPr="00AA4699">
        <w:rPr>
          <w:rFonts w:ascii="Times New Roman" w:hAnsi="Times New Roman"/>
        </w:rPr>
        <w:t>atem korzyść z tak prez</w:t>
      </w:r>
      <w:r>
        <w:rPr>
          <w:rFonts w:ascii="Times New Roman" w:hAnsi="Times New Roman"/>
        </w:rPr>
        <w:t>entowanego rozwiązania odniosą obie</w:t>
      </w:r>
      <w:r w:rsidRPr="00AA4699">
        <w:rPr>
          <w:rFonts w:ascii="Times New Roman" w:hAnsi="Times New Roman"/>
        </w:rPr>
        <w:t xml:space="preserve"> strony. </w:t>
      </w:r>
      <w:r>
        <w:rPr>
          <w:rFonts w:ascii="Times New Roman" w:hAnsi="Times New Roman"/>
        </w:rPr>
        <w:t>Mechanizm rozdysponowania</w:t>
      </w:r>
      <w:r w:rsidRPr="00AA4699">
        <w:rPr>
          <w:rFonts w:ascii="Times New Roman" w:hAnsi="Times New Roman"/>
        </w:rPr>
        <w:t xml:space="preserve"> kwoty</w:t>
      </w:r>
      <w:r>
        <w:rPr>
          <w:rFonts w:ascii="Times New Roman" w:hAnsi="Times New Roman"/>
        </w:rPr>
        <w:t xml:space="preserve"> korzyści</w:t>
      </w:r>
      <w:r w:rsidRPr="00AA4699">
        <w:rPr>
          <w:rFonts w:ascii="Times New Roman" w:hAnsi="Times New Roman"/>
        </w:rPr>
        <w:t xml:space="preserve"> </w:t>
      </w:r>
      <w:r>
        <w:rPr>
          <w:rFonts w:ascii="Times New Roman" w:hAnsi="Times New Roman"/>
        </w:rPr>
        <w:t xml:space="preserve">znajduje się </w:t>
      </w:r>
      <w:r w:rsidRPr="00AA4699">
        <w:rPr>
          <w:rFonts w:ascii="Times New Roman" w:hAnsi="Times New Roman"/>
        </w:rPr>
        <w:t xml:space="preserve">w gestii </w:t>
      </w:r>
      <w:r>
        <w:rPr>
          <w:rFonts w:ascii="Times New Roman" w:hAnsi="Times New Roman"/>
        </w:rPr>
        <w:t xml:space="preserve">członków </w:t>
      </w:r>
      <w:r w:rsidRPr="00AA4699">
        <w:rPr>
          <w:rFonts w:ascii="Times New Roman" w:hAnsi="Times New Roman"/>
        </w:rPr>
        <w:t>klastra energii. W</w:t>
      </w:r>
      <w:r>
        <w:rPr>
          <w:rFonts w:ascii="Times New Roman" w:hAnsi="Times New Roman"/>
        </w:rPr>
        <w:t> </w:t>
      </w:r>
      <w:r w:rsidRPr="00AA4699">
        <w:rPr>
          <w:rFonts w:ascii="Times New Roman" w:hAnsi="Times New Roman"/>
        </w:rPr>
        <w:t>modelu biznesowym klastra energii ist</w:t>
      </w:r>
      <w:r>
        <w:rPr>
          <w:rFonts w:ascii="Times New Roman" w:hAnsi="Times New Roman"/>
        </w:rPr>
        <w:t>ot</w:t>
      </w:r>
      <w:r w:rsidRPr="00AA4699">
        <w:rPr>
          <w:rFonts w:ascii="Times New Roman" w:hAnsi="Times New Roman"/>
        </w:rPr>
        <w:t>ne będzie bowiem pozyskiwanie n</w:t>
      </w:r>
      <w:r>
        <w:rPr>
          <w:rFonts w:ascii="Times New Roman" w:hAnsi="Times New Roman"/>
        </w:rPr>
        <w:t xml:space="preserve">owych wytwórców energii z OZE, </w:t>
      </w:r>
      <w:r w:rsidRPr="00AA4699">
        <w:rPr>
          <w:rFonts w:ascii="Times New Roman" w:hAnsi="Times New Roman"/>
        </w:rPr>
        <w:t xml:space="preserve">którzy będą dążyć do uzyskania </w:t>
      </w:r>
      <w:r>
        <w:rPr>
          <w:rFonts w:ascii="Times New Roman" w:hAnsi="Times New Roman"/>
        </w:rPr>
        <w:t>możliwie wysokich cen za energię elektryczną</w:t>
      </w:r>
      <w:r w:rsidRPr="00AA4699">
        <w:rPr>
          <w:rFonts w:ascii="Times New Roman" w:hAnsi="Times New Roman"/>
        </w:rPr>
        <w:t>. Podmiotom tym zostanie dopłacona pewna część</w:t>
      </w:r>
      <w:r w:rsidR="004C0172">
        <w:rPr>
          <w:rFonts w:ascii="Times New Roman" w:hAnsi="Times New Roman"/>
        </w:rPr>
        <w:t xml:space="preserve"> </w:t>
      </w:r>
      <w:r w:rsidRPr="00AA4699">
        <w:rPr>
          <w:rFonts w:ascii="Times New Roman" w:hAnsi="Times New Roman"/>
        </w:rPr>
        <w:t xml:space="preserve">środków z wygenerowanej </w:t>
      </w:r>
      <w:r>
        <w:rPr>
          <w:rFonts w:ascii="Times New Roman" w:hAnsi="Times New Roman"/>
        </w:rPr>
        <w:t>korzyści finansowej</w:t>
      </w:r>
      <w:r w:rsidRPr="00AA4699">
        <w:rPr>
          <w:rFonts w:ascii="Times New Roman" w:hAnsi="Times New Roman"/>
        </w:rPr>
        <w:t>. Z drugiej zaś strony odbiorcy dążąc do uzyskania jak najniższych cen energii będą skłonni wchodzić do</w:t>
      </w:r>
      <w:r>
        <w:rPr>
          <w:rFonts w:ascii="Times New Roman" w:hAnsi="Times New Roman"/>
        </w:rPr>
        <w:t xml:space="preserve"> klastra, jeśli ich „korzyść” (</w:t>
      </w:r>
      <w:r w:rsidR="00A6616E">
        <w:rPr>
          <w:rFonts w:ascii="Times New Roman" w:hAnsi="Times New Roman"/>
        </w:rPr>
        <w:t>stanowiąca czę</w:t>
      </w:r>
      <w:r w:rsidRPr="00AA4699">
        <w:rPr>
          <w:rFonts w:ascii="Times New Roman" w:hAnsi="Times New Roman"/>
        </w:rPr>
        <w:t xml:space="preserve">ść kwoty 33,81 zł/MWh) będzie jak największa. </w:t>
      </w:r>
    </w:p>
    <w:p w14:paraId="791EA789" w14:textId="2C109A32"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Zaprezentowane w tabeli</w:t>
      </w:r>
      <w:r w:rsidR="005E7C4D">
        <w:rPr>
          <w:rFonts w:ascii="Times New Roman" w:hAnsi="Times New Roman"/>
        </w:rPr>
        <w:t xml:space="preserve"> </w:t>
      </w:r>
      <w:r w:rsidR="0070371E">
        <w:rPr>
          <w:rFonts w:ascii="Times New Roman" w:hAnsi="Times New Roman"/>
        </w:rPr>
        <w:t>1</w:t>
      </w:r>
      <w:r w:rsidRPr="00687093">
        <w:rPr>
          <w:rFonts w:ascii="Times New Roman" w:hAnsi="Times New Roman"/>
        </w:rPr>
        <w:t xml:space="preserve"> dane wskazują</w:t>
      </w:r>
      <w:r w:rsidR="000D4FA3">
        <w:rPr>
          <w:rFonts w:ascii="Times New Roman" w:hAnsi="Times New Roman"/>
        </w:rPr>
        <w:t xml:space="preserve"> estymację wpływu wsparcia </w:t>
      </w:r>
      <w:r w:rsidRPr="00687093">
        <w:rPr>
          <w:rFonts w:ascii="Times New Roman" w:hAnsi="Times New Roman"/>
        </w:rPr>
        <w:t xml:space="preserve">w okresie do dnia 31 grudnia 2029, </w:t>
      </w:r>
      <w:r w:rsidR="000D4FA3">
        <w:rPr>
          <w:rFonts w:ascii="Times New Roman" w:hAnsi="Times New Roman"/>
        </w:rPr>
        <w:t xml:space="preserve">w którym </w:t>
      </w:r>
      <w:r w:rsidRPr="00687093">
        <w:rPr>
          <w:rFonts w:ascii="Times New Roman" w:hAnsi="Times New Roman"/>
        </w:rPr>
        <w:t xml:space="preserve">wsparciem </w:t>
      </w:r>
      <w:r w:rsidR="000D4FA3">
        <w:rPr>
          <w:rFonts w:ascii="Times New Roman" w:hAnsi="Times New Roman"/>
        </w:rPr>
        <w:t>byłoby objęte</w:t>
      </w:r>
      <w:r w:rsidRPr="00687093">
        <w:rPr>
          <w:rFonts w:ascii="Times New Roman" w:hAnsi="Times New Roman"/>
        </w:rPr>
        <w:t xml:space="preserve"> 4 </w:t>
      </w:r>
      <w:r w:rsidR="0070371E">
        <w:rPr>
          <w:rFonts w:ascii="Times New Roman" w:hAnsi="Times New Roman"/>
        </w:rPr>
        <w:t>11</w:t>
      </w:r>
      <w:r w:rsidRPr="00687093">
        <w:rPr>
          <w:rFonts w:ascii="Times New Roman" w:hAnsi="Times New Roman"/>
        </w:rPr>
        <w:t xml:space="preserve">0 </w:t>
      </w:r>
      <w:proofErr w:type="spellStart"/>
      <w:r w:rsidRPr="00687093">
        <w:rPr>
          <w:rFonts w:ascii="Times New Roman" w:hAnsi="Times New Roman"/>
        </w:rPr>
        <w:t>GWh</w:t>
      </w:r>
      <w:proofErr w:type="spellEnd"/>
      <w:r w:rsidRPr="00687093">
        <w:rPr>
          <w:rFonts w:ascii="Times New Roman" w:hAnsi="Times New Roman"/>
        </w:rPr>
        <w:t xml:space="preserve"> energii elektrycznej wyprodukowanej z OZE w klastrach energii. Członkowie klastrów energii otrzyma</w:t>
      </w:r>
      <w:r w:rsidR="000D4FA3">
        <w:rPr>
          <w:rFonts w:ascii="Times New Roman" w:hAnsi="Times New Roman"/>
        </w:rPr>
        <w:t>liby</w:t>
      </w:r>
      <w:r w:rsidRPr="00687093">
        <w:rPr>
          <w:rFonts w:ascii="Times New Roman" w:hAnsi="Times New Roman"/>
        </w:rPr>
        <w:t xml:space="preserve"> w związku z powyższym wsparcie ogółem oszacowane na poziomie </w:t>
      </w:r>
      <w:r w:rsidR="00A6616E" w:rsidRPr="00A6616E">
        <w:rPr>
          <w:rFonts w:ascii="Times New Roman" w:hAnsi="Times New Roman"/>
        </w:rPr>
        <w:t>132 366 150,00 zł</w:t>
      </w:r>
      <w:r w:rsidRPr="00687093">
        <w:rPr>
          <w:rFonts w:ascii="Times New Roman" w:hAnsi="Times New Roman"/>
        </w:rPr>
        <w:t xml:space="preserve">, co daje średnie wsparcie na poziomie 33,81 zł/MWh. </w:t>
      </w:r>
    </w:p>
    <w:p w14:paraId="280E2D34" w14:textId="4742E0A3" w:rsidR="002020BA" w:rsidRDefault="002020BA" w:rsidP="002020BA">
      <w:pPr>
        <w:spacing w:after="80" w:line="240" w:lineRule="auto"/>
        <w:jc w:val="both"/>
        <w:rPr>
          <w:rFonts w:ascii="Times New Roman" w:hAnsi="Times New Roman"/>
        </w:rPr>
      </w:pPr>
      <w:r w:rsidRPr="00687093">
        <w:rPr>
          <w:rFonts w:ascii="Times New Roman" w:hAnsi="Times New Roman"/>
        </w:rPr>
        <w:t>Jednocześnie</w:t>
      </w:r>
      <w:r w:rsidR="00241769">
        <w:rPr>
          <w:rFonts w:ascii="Times New Roman" w:hAnsi="Times New Roman"/>
        </w:rPr>
        <w:t>,</w:t>
      </w:r>
      <w:r w:rsidRPr="00687093">
        <w:rPr>
          <w:rFonts w:ascii="Times New Roman" w:hAnsi="Times New Roman"/>
        </w:rPr>
        <w:t xml:space="preserve"> dla członków klastrów energii, któr</w:t>
      </w:r>
      <w:r w:rsidR="0070371E">
        <w:rPr>
          <w:rFonts w:ascii="Times New Roman" w:hAnsi="Times New Roman"/>
        </w:rPr>
        <w:t>zy</w:t>
      </w:r>
      <w:r w:rsidRPr="00687093">
        <w:rPr>
          <w:rFonts w:ascii="Times New Roman" w:hAnsi="Times New Roman"/>
        </w:rPr>
        <w:t xml:space="preserve"> wyka</w:t>
      </w:r>
      <w:r w:rsidR="003C3BB3">
        <w:rPr>
          <w:rFonts w:ascii="Times New Roman" w:hAnsi="Times New Roman"/>
        </w:rPr>
        <w:t>zaliby</w:t>
      </w:r>
      <w:r w:rsidRPr="00687093">
        <w:rPr>
          <w:rFonts w:ascii="Times New Roman" w:hAnsi="Times New Roman"/>
        </w:rPr>
        <w:t xml:space="preserve"> wyższy poziom </w:t>
      </w:r>
      <w:r w:rsidR="000D4FA3">
        <w:rPr>
          <w:rFonts w:ascii="Times New Roman" w:hAnsi="Times New Roman"/>
        </w:rPr>
        <w:t xml:space="preserve">zużycia własnego </w:t>
      </w:r>
      <w:r w:rsidRPr="00687093">
        <w:rPr>
          <w:rFonts w:ascii="Times New Roman" w:hAnsi="Times New Roman"/>
        </w:rPr>
        <w:t>tj. powyżej 60%, przewidziany jest dodatkowy instrument wsparcia obejmujący upust od zmiennych składników taryfy dystrybucyjnej. Planowany w</w:t>
      </w:r>
      <w:r>
        <w:rPr>
          <w:rFonts w:ascii="Times New Roman" w:hAnsi="Times New Roman"/>
        </w:rPr>
        <w:t> </w:t>
      </w:r>
      <w:r w:rsidRPr="00687093">
        <w:rPr>
          <w:rFonts w:ascii="Times New Roman" w:hAnsi="Times New Roman"/>
        </w:rPr>
        <w:t xml:space="preserve">projekcie ustawy instrument wsparcia zakłada 5% upust przy osiągnieciu </w:t>
      </w:r>
      <w:r w:rsidR="00253E6F">
        <w:rPr>
          <w:rFonts w:ascii="Times New Roman" w:hAnsi="Times New Roman"/>
        </w:rPr>
        <w:t>zużycia własnego</w:t>
      </w:r>
      <w:r w:rsidR="00253E6F" w:rsidRPr="00687093">
        <w:rPr>
          <w:rFonts w:ascii="Times New Roman" w:hAnsi="Times New Roman"/>
        </w:rPr>
        <w:t xml:space="preserve"> </w:t>
      </w:r>
      <w:r w:rsidRPr="00687093">
        <w:rPr>
          <w:rFonts w:ascii="Times New Roman" w:hAnsi="Times New Roman"/>
        </w:rPr>
        <w:t xml:space="preserve">powyżej 60%. Wraz ze wzrostem </w:t>
      </w:r>
      <w:r w:rsidR="000D4FA3">
        <w:rPr>
          <w:rFonts w:ascii="Times New Roman" w:hAnsi="Times New Roman"/>
        </w:rPr>
        <w:t xml:space="preserve">zużycia własnego </w:t>
      </w:r>
      <w:r w:rsidRPr="00687093">
        <w:rPr>
          <w:rFonts w:ascii="Times New Roman" w:hAnsi="Times New Roman"/>
        </w:rPr>
        <w:t xml:space="preserve">o kolejne 10% członkowie klastra energii uzyskują dodatkowe 5%. W przypadku 100% </w:t>
      </w:r>
      <w:r w:rsidR="000D4FA3">
        <w:rPr>
          <w:rFonts w:ascii="Times New Roman" w:hAnsi="Times New Roman"/>
        </w:rPr>
        <w:t xml:space="preserve">zużycia własnego </w:t>
      </w:r>
      <w:r w:rsidRPr="00687093">
        <w:rPr>
          <w:rFonts w:ascii="Times New Roman" w:hAnsi="Times New Roman"/>
        </w:rPr>
        <w:t xml:space="preserve">upust ten wynosu 25%. </w:t>
      </w:r>
    </w:p>
    <w:p w14:paraId="7E3B4D89" w14:textId="77777777" w:rsidR="002020BA" w:rsidRPr="00687093" w:rsidRDefault="002020BA" w:rsidP="002020BA">
      <w:pPr>
        <w:spacing w:line="240" w:lineRule="auto"/>
        <w:jc w:val="both"/>
        <w:rPr>
          <w:rFonts w:ascii="Times New Roman" w:eastAsia="Times New Roman" w:hAnsi="Times New Roman"/>
          <w:bCs/>
          <w:kern w:val="32"/>
          <w:sz w:val="8"/>
          <w:szCs w:val="8"/>
          <w:lang w:eastAsia="pl-PL"/>
        </w:rPr>
      </w:pPr>
    </w:p>
    <w:p w14:paraId="441A76A2" w14:textId="75EED18F" w:rsidR="002020BA" w:rsidRDefault="002020BA" w:rsidP="002020BA">
      <w:pPr>
        <w:spacing w:line="240" w:lineRule="auto"/>
        <w:jc w:val="both"/>
        <w:rPr>
          <w:rFonts w:ascii="Times New Roman" w:hAnsi="Times New Roman"/>
          <w:i/>
          <w:sz w:val="20"/>
          <w:szCs w:val="20"/>
        </w:rPr>
      </w:pPr>
      <w:r w:rsidRPr="00687093">
        <w:rPr>
          <w:rFonts w:ascii="Times New Roman" w:hAnsi="Times New Roman"/>
          <w:i/>
          <w:sz w:val="20"/>
          <w:szCs w:val="20"/>
        </w:rPr>
        <w:t xml:space="preserve">Tabela </w:t>
      </w:r>
      <w:r w:rsidR="009E525D">
        <w:rPr>
          <w:rFonts w:ascii="Times New Roman" w:hAnsi="Times New Roman"/>
          <w:i/>
          <w:sz w:val="20"/>
          <w:szCs w:val="20"/>
        </w:rPr>
        <w:t>2</w:t>
      </w:r>
      <w:r w:rsidRPr="00687093">
        <w:rPr>
          <w:rFonts w:ascii="Times New Roman" w:hAnsi="Times New Roman"/>
          <w:i/>
          <w:sz w:val="20"/>
          <w:szCs w:val="20"/>
        </w:rPr>
        <w:t xml:space="preserve">. Prognoza w zakresie dodatkowej wartości wsparcia dla członków klastra energii, obejmująca klastry wykazujące poziom </w:t>
      </w:r>
      <w:r w:rsidR="00A6616E">
        <w:rPr>
          <w:rFonts w:ascii="Times New Roman" w:hAnsi="Times New Roman"/>
          <w:i/>
          <w:sz w:val="20"/>
          <w:szCs w:val="20"/>
        </w:rPr>
        <w:t>zużycia własnego</w:t>
      </w:r>
      <w:r w:rsidRPr="00687093">
        <w:rPr>
          <w:rFonts w:ascii="Times New Roman" w:hAnsi="Times New Roman"/>
          <w:i/>
          <w:sz w:val="20"/>
          <w:szCs w:val="20"/>
        </w:rPr>
        <w:t xml:space="preserve"> powyżej 60%. </w:t>
      </w:r>
    </w:p>
    <w:tbl>
      <w:tblPr>
        <w:tblW w:w="10469" w:type="dxa"/>
        <w:tblCellMar>
          <w:left w:w="70" w:type="dxa"/>
          <w:right w:w="70" w:type="dxa"/>
        </w:tblCellMar>
        <w:tblLook w:val="04A0" w:firstRow="1" w:lastRow="0" w:firstColumn="1" w:lastColumn="0" w:noHBand="0" w:noVBand="1"/>
      </w:tblPr>
      <w:tblGrid>
        <w:gridCol w:w="888"/>
        <w:gridCol w:w="939"/>
        <w:gridCol w:w="429"/>
        <w:gridCol w:w="350"/>
        <w:gridCol w:w="883"/>
        <w:gridCol w:w="865"/>
        <w:gridCol w:w="997"/>
        <w:gridCol w:w="1055"/>
        <w:gridCol w:w="1055"/>
        <w:gridCol w:w="1112"/>
        <w:gridCol w:w="883"/>
        <w:gridCol w:w="1013"/>
      </w:tblGrid>
      <w:tr w:rsidR="00A6616E" w:rsidRPr="00A6616E" w14:paraId="1D88971A" w14:textId="77777777" w:rsidTr="009E7E5B">
        <w:trPr>
          <w:trHeight w:val="1016"/>
        </w:trPr>
        <w:tc>
          <w:tcPr>
            <w:tcW w:w="902"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1F77CB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Rok</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E772DB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Produkcja energii elektrycznej [MWh]</w:t>
            </w:r>
          </w:p>
        </w:tc>
        <w:tc>
          <w:tcPr>
            <w:tcW w:w="424"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2D21FE7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Poziom </w:t>
            </w:r>
            <w:proofErr w:type="spellStart"/>
            <w:r w:rsidRPr="00A6616E">
              <w:rPr>
                <w:rFonts w:ascii="Times New Roman" w:eastAsia="Times New Roman" w:hAnsi="Times New Roman"/>
                <w:b/>
                <w:bCs/>
                <w:color w:val="000000"/>
                <w:sz w:val="16"/>
                <w:szCs w:val="16"/>
                <w:lang w:eastAsia="pl-PL"/>
              </w:rPr>
              <w:t>autokonsumpcji</w:t>
            </w:r>
            <w:proofErr w:type="spellEnd"/>
            <w:r w:rsidRPr="00A6616E">
              <w:rPr>
                <w:rFonts w:ascii="Times New Roman" w:eastAsia="Times New Roman" w:hAnsi="Times New Roman"/>
                <w:b/>
                <w:bCs/>
                <w:color w:val="000000"/>
                <w:sz w:val="16"/>
                <w:szCs w:val="16"/>
                <w:lang w:eastAsia="pl-PL"/>
              </w:rPr>
              <w:t xml:space="preserve"> 60%</w:t>
            </w:r>
          </w:p>
        </w:tc>
        <w:tc>
          <w:tcPr>
            <w:tcW w:w="347"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bottom"/>
            <w:hideMark/>
          </w:tcPr>
          <w:p w14:paraId="0C2C7A3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Upust</w:t>
            </w:r>
          </w:p>
        </w:tc>
        <w:tc>
          <w:tcPr>
            <w:tcW w:w="2703" w:type="dxa"/>
            <w:gridSpan w:val="3"/>
            <w:tcBorders>
              <w:top w:val="single" w:sz="4" w:space="0" w:color="auto"/>
              <w:left w:val="nil"/>
              <w:bottom w:val="single" w:sz="4" w:space="0" w:color="auto"/>
              <w:right w:val="single" w:sz="4" w:space="0" w:color="auto"/>
            </w:tcBorders>
            <w:shd w:val="clear" w:color="000000" w:fill="D9E1F2"/>
            <w:vAlign w:val="bottom"/>
            <w:hideMark/>
          </w:tcPr>
          <w:p w14:paraId="21597F6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Instrumenty wsparcia członków klastra energii</w:t>
            </w:r>
          </w:p>
        </w:tc>
        <w:tc>
          <w:tcPr>
            <w:tcW w:w="3271" w:type="dxa"/>
            <w:gridSpan w:val="3"/>
            <w:tcBorders>
              <w:top w:val="single" w:sz="4" w:space="0" w:color="auto"/>
              <w:left w:val="nil"/>
              <w:bottom w:val="single" w:sz="4" w:space="0" w:color="auto"/>
              <w:right w:val="single" w:sz="4" w:space="0" w:color="auto"/>
            </w:tcBorders>
            <w:shd w:val="clear" w:color="000000" w:fill="D9E1F2"/>
            <w:vAlign w:val="bottom"/>
            <w:hideMark/>
          </w:tcPr>
          <w:p w14:paraId="017949B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Wartość wsparcia dla członków klastrów energii - dla całego wolumenu energii elektrycznej </w:t>
            </w:r>
          </w:p>
        </w:tc>
        <w:tc>
          <w:tcPr>
            <w:tcW w:w="1868" w:type="dxa"/>
            <w:gridSpan w:val="2"/>
            <w:tcBorders>
              <w:top w:val="single" w:sz="4" w:space="0" w:color="auto"/>
              <w:left w:val="nil"/>
              <w:bottom w:val="single" w:sz="4" w:space="0" w:color="auto"/>
              <w:right w:val="single" w:sz="4" w:space="0" w:color="auto"/>
            </w:tcBorders>
            <w:shd w:val="clear" w:color="000000" w:fill="D9E1F2"/>
            <w:vAlign w:val="bottom"/>
            <w:hideMark/>
          </w:tcPr>
          <w:p w14:paraId="250DCD4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Wartość dodatkowego wsparcia dla członków klastrów energii dla całego wolumenu energii elektrycznej</w:t>
            </w:r>
          </w:p>
        </w:tc>
      </w:tr>
      <w:tr w:rsidR="00A6616E" w:rsidRPr="00A6616E" w14:paraId="2278BC6C" w14:textId="77777777" w:rsidTr="009E7E5B">
        <w:trPr>
          <w:trHeight w:val="628"/>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1C1986E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A59A5A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7C33A87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14:paraId="64D24A9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val="restart"/>
            <w:tcBorders>
              <w:top w:val="nil"/>
              <w:left w:val="single" w:sz="4" w:space="0" w:color="auto"/>
              <w:bottom w:val="single" w:sz="4" w:space="0" w:color="auto"/>
              <w:right w:val="single" w:sz="4" w:space="0" w:color="auto"/>
            </w:tcBorders>
            <w:shd w:val="clear" w:color="000000" w:fill="D9E1F2"/>
            <w:vAlign w:val="center"/>
            <w:hideMark/>
          </w:tcPr>
          <w:p w14:paraId="72852A72"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Stawka jakościowa</w:t>
            </w:r>
          </w:p>
        </w:tc>
        <w:tc>
          <w:tcPr>
            <w:tcW w:w="1833" w:type="dxa"/>
            <w:gridSpan w:val="2"/>
            <w:tcBorders>
              <w:top w:val="single" w:sz="4" w:space="0" w:color="auto"/>
              <w:left w:val="nil"/>
              <w:bottom w:val="single" w:sz="4" w:space="0" w:color="auto"/>
              <w:right w:val="single" w:sz="4" w:space="0" w:color="auto"/>
            </w:tcBorders>
            <w:shd w:val="clear" w:color="000000" w:fill="D9E1F2"/>
            <w:vAlign w:val="bottom"/>
            <w:hideMark/>
          </w:tcPr>
          <w:p w14:paraId="79BA473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Składnik zmienny opłaty sieciowej</w:t>
            </w:r>
          </w:p>
        </w:tc>
        <w:tc>
          <w:tcPr>
            <w:tcW w:w="1071" w:type="dxa"/>
            <w:vMerge w:val="restart"/>
            <w:tcBorders>
              <w:top w:val="nil"/>
              <w:left w:val="single" w:sz="4" w:space="0" w:color="auto"/>
              <w:bottom w:val="single" w:sz="4" w:space="0" w:color="auto"/>
              <w:right w:val="single" w:sz="4" w:space="0" w:color="auto"/>
            </w:tcBorders>
            <w:shd w:val="clear" w:color="000000" w:fill="D9E1F2"/>
            <w:vAlign w:val="bottom"/>
            <w:hideMark/>
          </w:tcPr>
          <w:p w14:paraId="7A4A966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 Upust w stawce jakościowej</w:t>
            </w:r>
          </w:p>
        </w:tc>
        <w:tc>
          <w:tcPr>
            <w:tcW w:w="1071" w:type="dxa"/>
            <w:vMerge w:val="restart"/>
            <w:tcBorders>
              <w:top w:val="nil"/>
              <w:left w:val="single" w:sz="4" w:space="0" w:color="auto"/>
              <w:bottom w:val="single" w:sz="4" w:space="0" w:color="auto"/>
              <w:right w:val="single" w:sz="4" w:space="0" w:color="auto"/>
            </w:tcBorders>
            <w:shd w:val="clear" w:color="000000" w:fill="D9E1F2"/>
            <w:vAlign w:val="bottom"/>
            <w:hideMark/>
          </w:tcPr>
          <w:p w14:paraId="1A7867F3"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Minimalny upust w składniku zmiennym opłaty sieciowej</w:t>
            </w:r>
          </w:p>
        </w:tc>
        <w:tc>
          <w:tcPr>
            <w:tcW w:w="1129" w:type="dxa"/>
            <w:vMerge w:val="restart"/>
            <w:tcBorders>
              <w:top w:val="nil"/>
              <w:left w:val="single" w:sz="4" w:space="0" w:color="auto"/>
              <w:bottom w:val="single" w:sz="4" w:space="0" w:color="auto"/>
              <w:right w:val="single" w:sz="4" w:space="0" w:color="auto"/>
            </w:tcBorders>
            <w:shd w:val="clear" w:color="000000" w:fill="D9E1F2"/>
            <w:vAlign w:val="bottom"/>
            <w:hideMark/>
          </w:tcPr>
          <w:p w14:paraId="1838A53B"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Maksymalny upust w składniku zmiennym opłaty sieciowej</w:t>
            </w:r>
          </w:p>
        </w:tc>
        <w:tc>
          <w:tcPr>
            <w:tcW w:w="870" w:type="dxa"/>
            <w:vMerge w:val="restart"/>
            <w:tcBorders>
              <w:top w:val="nil"/>
              <w:left w:val="single" w:sz="4" w:space="0" w:color="auto"/>
              <w:bottom w:val="single" w:sz="4" w:space="0" w:color="auto"/>
              <w:right w:val="single" w:sz="4" w:space="0" w:color="auto"/>
            </w:tcBorders>
            <w:shd w:val="clear" w:color="000000" w:fill="D9E1F2"/>
            <w:vAlign w:val="bottom"/>
            <w:hideMark/>
          </w:tcPr>
          <w:p w14:paraId="502774A4"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Minimalna suma wsparcia </w:t>
            </w:r>
          </w:p>
        </w:tc>
        <w:tc>
          <w:tcPr>
            <w:tcW w:w="998" w:type="dxa"/>
            <w:vMerge w:val="restart"/>
            <w:tcBorders>
              <w:top w:val="nil"/>
              <w:left w:val="single" w:sz="4" w:space="0" w:color="auto"/>
              <w:bottom w:val="single" w:sz="4" w:space="0" w:color="auto"/>
              <w:right w:val="single" w:sz="4" w:space="0" w:color="auto"/>
            </w:tcBorders>
            <w:shd w:val="clear" w:color="000000" w:fill="D9E1F2"/>
            <w:vAlign w:val="bottom"/>
            <w:hideMark/>
          </w:tcPr>
          <w:p w14:paraId="14B297DD" w14:textId="77777777" w:rsidR="00A6616E" w:rsidRPr="00A6616E" w:rsidRDefault="00A6616E" w:rsidP="00A6616E">
            <w:pPr>
              <w:spacing w:line="240" w:lineRule="auto"/>
              <w:jc w:val="center"/>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xml:space="preserve">Maksymalna suma wsparcia </w:t>
            </w:r>
          </w:p>
        </w:tc>
      </w:tr>
      <w:tr w:rsidR="00A6616E" w:rsidRPr="00A6616E" w14:paraId="5C61D33F" w14:textId="77777777" w:rsidTr="009E7E5B">
        <w:trPr>
          <w:trHeight w:val="1284"/>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0CE14B7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3A199C21"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03876DC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14:paraId="7D8BA304"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tcBorders>
              <w:top w:val="nil"/>
              <w:left w:val="single" w:sz="4" w:space="0" w:color="auto"/>
              <w:bottom w:val="single" w:sz="4" w:space="0" w:color="auto"/>
              <w:right w:val="single" w:sz="4" w:space="0" w:color="auto"/>
            </w:tcBorders>
            <w:vAlign w:val="center"/>
            <w:hideMark/>
          </w:tcPr>
          <w:p w14:paraId="70F9B8FA"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52" w:type="dxa"/>
            <w:tcBorders>
              <w:top w:val="nil"/>
              <w:left w:val="nil"/>
              <w:bottom w:val="single" w:sz="4" w:space="0" w:color="auto"/>
              <w:right w:val="single" w:sz="4" w:space="0" w:color="auto"/>
            </w:tcBorders>
            <w:shd w:val="clear" w:color="000000" w:fill="D9E1F2"/>
            <w:vAlign w:val="bottom"/>
            <w:hideMark/>
          </w:tcPr>
          <w:p w14:paraId="373A37A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Poziom minimalny</w:t>
            </w:r>
          </w:p>
        </w:tc>
        <w:tc>
          <w:tcPr>
            <w:tcW w:w="981" w:type="dxa"/>
            <w:tcBorders>
              <w:top w:val="nil"/>
              <w:left w:val="nil"/>
              <w:bottom w:val="single" w:sz="4" w:space="0" w:color="auto"/>
              <w:right w:val="single" w:sz="4" w:space="0" w:color="auto"/>
            </w:tcBorders>
            <w:shd w:val="clear" w:color="000000" w:fill="D9E1F2"/>
            <w:vAlign w:val="bottom"/>
            <w:hideMark/>
          </w:tcPr>
          <w:p w14:paraId="4F75934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Poziom maksymalny</w:t>
            </w:r>
          </w:p>
        </w:tc>
        <w:tc>
          <w:tcPr>
            <w:tcW w:w="1071" w:type="dxa"/>
            <w:vMerge/>
            <w:tcBorders>
              <w:top w:val="nil"/>
              <w:left w:val="single" w:sz="4" w:space="0" w:color="auto"/>
              <w:bottom w:val="single" w:sz="4" w:space="0" w:color="auto"/>
              <w:right w:val="single" w:sz="4" w:space="0" w:color="auto"/>
            </w:tcBorders>
            <w:vAlign w:val="center"/>
            <w:hideMark/>
          </w:tcPr>
          <w:p w14:paraId="6C9FD891"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1071" w:type="dxa"/>
            <w:vMerge/>
            <w:tcBorders>
              <w:top w:val="nil"/>
              <w:left w:val="single" w:sz="4" w:space="0" w:color="auto"/>
              <w:bottom w:val="single" w:sz="4" w:space="0" w:color="auto"/>
              <w:right w:val="single" w:sz="4" w:space="0" w:color="auto"/>
            </w:tcBorders>
            <w:vAlign w:val="center"/>
            <w:hideMark/>
          </w:tcPr>
          <w:p w14:paraId="4B442158"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1129" w:type="dxa"/>
            <w:vMerge/>
            <w:tcBorders>
              <w:top w:val="nil"/>
              <w:left w:val="single" w:sz="4" w:space="0" w:color="auto"/>
              <w:bottom w:val="single" w:sz="4" w:space="0" w:color="auto"/>
              <w:right w:val="single" w:sz="4" w:space="0" w:color="auto"/>
            </w:tcBorders>
            <w:vAlign w:val="center"/>
            <w:hideMark/>
          </w:tcPr>
          <w:p w14:paraId="0FC011C0"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870" w:type="dxa"/>
            <w:vMerge/>
            <w:tcBorders>
              <w:top w:val="nil"/>
              <w:left w:val="single" w:sz="4" w:space="0" w:color="auto"/>
              <w:bottom w:val="single" w:sz="4" w:space="0" w:color="auto"/>
              <w:right w:val="single" w:sz="4" w:space="0" w:color="auto"/>
            </w:tcBorders>
            <w:vAlign w:val="center"/>
            <w:hideMark/>
          </w:tcPr>
          <w:p w14:paraId="5675B1FD"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c>
          <w:tcPr>
            <w:tcW w:w="998" w:type="dxa"/>
            <w:vMerge/>
            <w:tcBorders>
              <w:top w:val="nil"/>
              <w:left w:val="single" w:sz="4" w:space="0" w:color="auto"/>
              <w:bottom w:val="single" w:sz="4" w:space="0" w:color="auto"/>
              <w:right w:val="single" w:sz="4" w:space="0" w:color="auto"/>
            </w:tcBorders>
            <w:vAlign w:val="center"/>
            <w:hideMark/>
          </w:tcPr>
          <w:p w14:paraId="7C3A1C6F"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p>
        </w:tc>
      </w:tr>
      <w:tr w:rsidR="00A6616E" w:rsidRPr="00A6616E" w14:paraId="156CAAEA" w14:textId="77777777" w:rsidTr="009E7E5B">
        <w:trPr>
          <w:trHeight w:val="321"/>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F1FAB8"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2C2EB8"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w:t>
            </w:r>
          </w:p>
        </w:tc>
        <w:tc>
          <w:tcPr>
            <w:tcW w:w="4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094CCB"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w:t>
            </w:r>
          </w:p>
        </w:tc>
        <w:tc>
          <w:tcPr>
            <w:tcW w:w="3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D3DCA4"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C451B3"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7F1CDD"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832625"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7</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5B4DCE"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8 (2x3x4x5)</w:t>
            </w:r>
          </w:p>
        </w:tc>
        <w:tc>
          <w:tcPr>
            <w:tcW w:w="1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C4B51E"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9 (2x3x4x6)</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654593"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10 (2x3x4x7)</w:t>
            </w:r>
          </w:p>
        </w:tc>
        <w:tc>
          <w:tcPr>
            <w:tcW w:w="87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2ACDAD"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11 (8+9)</w:t>
            </w:r>
          </w:p>
        </w:tc>
        <w:tc>
          <w:tcPr>
            <w:tcW w:w="9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21454F" w14:textId="77777777" w:rsidR="00A6616E" w:rsidRPr="00A6616E" w:rsidRDefault="00A6616E" w:rsidP="00A6616E">
            <w:pPr>
              <w:spacing w:line="240" w:lineRule="auto"/>
              <w:jc w:val="center"/>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12 (8+10)</w:t>
            </w:r>
          </w:p>
        </w:tc>
      </w:tr>
      <w:tr w:rsidR="00A6616E" w:rsidRPr="00A6616E" w14:paraId="7A9A1521" w14:textId="77777777" w:rsidTr="009E7E5B">
        <w:trPr>
          <w:trHeight w:val="299"/>
        </w:trPr>
        <w:tc>
          <w:tcPr>
            <w:tcW w:w="902" w:type="dxa"/>
            <w:vMerge/>
            <w:tcBorders>
              <w:top w:val="nil"/>
              <w:left w:val="single" w:sz="4" w:space="0" w:color="auto"/>
              <w:bottom w:val="single" w:sz="4" w:space="0" w:color="000000"/>
              <w:right w:val="single" w:sz="4" w:space="0" w:color="auto"/>
            </w:tcBorders>
            <w:vAlign w:val="center"/>
            <w:hideMark/>
          </w:tcPr>
          <w:p w14:paraId="04E583DD"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54" w:type="dxa"/>
            <w:vMerge/>
            <w:tcBorders>
              <w:top w:val="nil"/>
              <w:left w:val="single" w:sz="4" w:space="0" w:color="auto"/>
              <w:bottom w:val="single" w:sz="4" w:space="0" w:color="000000"/>
              <w:right w:val="single" w:sz="4" w:space="0" w:color="auto"/>
            </w:tcBorders>
            <w:vAlign w:val="center"/>
            <w:hideMark/>
          </w:tcPr>
          <w:p w14:paraId="7400793E"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424" w:type="dxa"/>
            <w:vMerge/>
            <w:tcBorders>
              <w:top w:val="nil"/>
              <w:left w:val="single" w:sz="4" w:space="0" w:color="auto"/>
              <w:bottom w:val="single" w:sz="4" w:space="0" w:color="000000"/>
              <w:right w:val="single" w:sz="4" w:space="0" w:color="auto"/>
            </w:tcBorders>
            <w:vAlign w:val="center"/>
            <w:hideMark/>
          </w:tcPr>
          <w:p w14:paraId="5138360F"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347" w:type="dxa"/>
            <w:vMerge/>
            <w:tcBorders>
              <w:top w:val="nil"/>
              <w:left w:val="single" w:sz="4" w:space="0" w:color="auto"/>
              <w:bottom w:val="single" w:sz="4" w:space="0" w:color="000000"/>
              <w:right w:val="single" w:sz="4" w:space="0" w:color="auto"/>
            </w:tcBorders>
            <w:vAlign w:val="center"/>
            <w:hideMark/>
          </w:tcPr>
          <w:p w14:paraId="747EC51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70" w:type="dxa"/>
            <w:vMerge/>
            <w:tcBorders>
              <w:top w:val="nil"/>
              <w:left w:val="single" w:sz="4" w:space="0" w:color="auto"/>
              <w:bottom w:val="single" w:sz="4" w:space="0" w:color="000000"/>
              <w:right w:val="single" w:sz="4" w:space="0" w:color="auto"/>
            </w:tcBorders>
            <w:vAlign w:val="center"/>
            <w:hideMark/>
          </w:tcPr>
          <w:p w14:paraId="3E5B4BC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52" w:type="dxa"/>
            <w:vMerge/>
            <w:tcBorders>
              <w:top w:val="nil"/>
              <w:left w:val="single" w:sz="4" w:space="0" w:color="auto"/>
              <w:bottom w:val="single" w:sz="4" w:space="0" w:color="000000"/>
              <w:right w:val="single" w:sz="4" w:space="0" w:color="auto"/>
            </w:tcBorders>
            <w:vAlign w:val="center"/>
            <w:hideMark/>
          </w:tcPr>
          <w:p w14:paraId="4F76340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81" w:type="dxa"/>
            <w:vMerge/>
            <w:tcBorders>
              <w:top w:val="nil"/>
              <w:left w:val="single" w:sz="4" w:space="0" w:color="auto"/>
              <w:bottom w:val="single" w:sz="4" w:space="0" w:color="000000"/>
              <w:right w:val="single" w:sz="4" w:space="0" w:color="auto"/>
            </w:tcBorders>
            <w:vAlign w:val="center"/>
            <w:hideMark/>
          </w:tcPr>
          <w:p w14:paraId="04B6051A"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071" w:type="dxa"/>
            <w:vMerge/>
            <w:tcBorders>
              <w:top w:val="nil"/>
              <w:left w:val="single" w:sz="4" w:space="0" w:color="auto"/>
              <w:bottom w:val="single" w:sz="4" w:space="0" w:color="000000"/>
              <w:right w:val="single" w:sz="4" w:space="0" w:color="auto"/>
            </w:tcBorders>
            <w:vAlign w:val="center"/>
            <w:hideMark/>
          </w:tcPr>
          <w:p w14:paraId="55EE57CA"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071" w:type="dxa"/>
            <w:vMerge/>
            <w:tcBorders>
              <w:top w:val="nil"/>
              <w:left w:val="single" w:sz="4" w:space="0" w:color="auto"/>
              <w:bottom w:val="single" w:sz="4" w:space="0" w:color="000000"/>
              <w:right w:val="single" w:sz="4" w:space="0" w:color="auto"/>
            </w:tcBorders>
            <w:vAlign w:val="center"/>
            <w:hideMark/>
          </w:tcPr>
          <w:p w14:paraId="33AAB3B4"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1129" w:type="dxa"/>
            <w:vMerge/>
            <w:tcBorders>
              <w:top w:val="nil"/>
              <w:left w:val="single" w:sz="4" w:space="0" w:color="auto"/>
              <w:bottom w:val="single" w:sz="4" w:space="0" w:color="000000"/>
              <w:right w:val="single" w:sz="4" w:space="0" w:color="auto"/>
            </w:tcBorders>
            <w:vAlign w:val="center"/>
            <w:hideMark/>
          </w:tcPr>
          <w:p w14:paraId="36BCD9A2"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870" w:type="dxa"/>
            <w:vMerge/>
            <w:tcBorders>
              <w:top w:val="nil"/>
              <w:left w:val="single" w:sz="4" w:space="0" w:color="auto"/>
              <w:bottom w:val="single" w:sz="4" w:space="0" w:color="000000"/>
              <w:right w:val="single" w:sz="4" w:space="0" w:color="auto"/>
            </w:tcBorders>
            <w:vAlign w:val="center"/>
            <w:hideMark/>
          </w:tcPr>
          <w:p w14:paraId="05F5DC25"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c>
          <w:tcPr>
            <w:tcW w:w="998" w:type="dxa"/>
            <w:vMerge/>
            <w:tcBorders>
              <w:top w:val="nil"/>
              <w:left w:val="single" w:sz="4" w:space="0" w:color="auto"/>
              <w:bottom w:val="single" w:sz="4" w:space="0" w:color="000000"/>
              <w:right w:val="single" w:sz="4" w:space="0" w:color="auto"/>
            </w:tcBorders>
            <w:vAlign w:val="center"/>
            <w:hideMark/>
          </w:tcPr>
          <w:p w14:paraId="440B2513" w14:textId="77777777" w:rsidR="00A6616E" w:rsidRPr="00A6616E" w:rsidRDefault="00A6616E" w:rsidP="00A6616E">
            <w:pPr>
              <w:spacing w:line="240" w:lineRule="auto"/>
              <w:rPr>
                <w:rFonts w:ascii="Times New Roman" w:eastAsia="Times New Roman" w:hAnsi="Times New Roman"/>
                <w:color w:val="000000"/>
                <w:sz w:val="16"/>
                <w:szCs w:val="16"/>
                <w:lang w:eastAsia="pl-PL"/>
              </w:rPr>
            </w:pPr>
          </w:p>
        </w:tc>
      </w:tr>
      <w:tr w:rsidR="00A6616E" w:rsidRPr="00A6616E" w14:paraId="483958CC"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4297AE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2024</w:t>
            </w:r>
          </w:p>
        </w:tc>
        <w:tc>
          <w:tcPr>
            <w:tcW w:w="954" w:type="dxa"/>
            <w:tcBorders>
              <w:top w:val="nil"/>
              <w:left w:val="nil"/>
              <w:bottom w:val="single" w:sz="4" w:space="0" w:color="auto"/>
              <w:right w:val="single" w:sz="4" w:space="0" w:color="auto"/>
            </w:tcBorders>
            <w:shd w:val="clear" w:color="auto" w:fill="auto"/>
            <w:noWrap/>
            <w:vAlign w:val="bottom"/>
            <w:hideMark/>
          </w:tcPr>
          <w:p w14:paraId="465D3A7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465000</w:t>
            </w:r>
          </w:p>
        </w:tc>
        <w:tc>
          <w:tcPr>
            <w:tcW w:w="424" w:type="dxa"/>
            <w:tcBorders>
              <w:top w:val="nil"/>
              <w:left w:val="nil"/>
              <w:bottom w:val="single" w:sz="4" w:space="0" w:color="auto"/>
              <w:right w:val="single" w:sz="4" w:space="0" w:color="auto"/>
            </w:tcBorders>
            <w:shd w:val="clear" w:color="auto" w:fill="auto"/>
            <w:noWrap/>
            <w:vAlign w:val="bottom"/>
            <w:hideMark/>
          </w:tcPr>
          <w:p w14:paraId="019826A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50F4BC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76D9ED5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21736A8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63CA151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5A988DC4"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185 953,50 zł</w:t>
            </w:r>
          </w:p>
        </w:tc>
        <w:tc>
          <w:tcPr>
            <w:tcW w:w="1071" w:type="dxa"/>
            <w:tcBorders>
              <w:top w:val="nil"/>
              <w:left w:val="nil"/>
              <w:bottom w:val="single" w:sz="4" w:space="0" w:color="auto"/>
              <w:right w:val="single" w:sz="4" w:space="0" w:color="auto"/>
            </w:tcBorders>
            <w:shd w:val="clear" w:color="auto" w:fill="auto"/>
            <w:noWrap/>
            <w:vAlign w:val="bottom"/>
            <w:hideMark/>
          </w:tcPr>
          <w:p w14:paraId="298373B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217 480,50 zł</w:t>
            </w:r>
          </w:p>
        </w:tc>
        <w:tc>
          <w:tcPr>
            <w:tcW w:w="1129" w:type="dxa"/>
            <w:tcBorders>
              <w:top w:val="nil"/>
              <w:left w:val="nil"/>
              <w:bottom w:val="single" w:sz="4" w:space="0" w:color="auto"/>
              <w:right w:val="single" w:sz="4" w:space="0" w:color="auto"/>
            </w:tcBorders>
            <w:shd w:val="clear" w:color="auto" w:fill="auto"/>
            <w:noWrap/>
            <w:vAlign w:val="bottom"/>
            <w:hideMark/>
          </w:tcPr>
          <w:p w14:paraId="32FA1ED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3 631 185,00 zł</w:t>
            </w:r>
          </w:p>
        </w:tc>
        <w:tc>
          <w:tcPr>
            <w:tcW w:w="870" w:type="dxa"/>
            <w:tcBorders>
              <w:top w:val="nil"/>
              <w:left w:val="nil"/>
              <w:bottom w:val="single" w:sz="4" w:space="0" w:color="auto"/>
              <w:right w:val="single" w:sz="4" w:space="0" w:color="auto"/>
            </w:tcBorders>
            <w:shd w:val="clear" w:color="auto" w:fill="auto"/>
            <w:noWrap/>
            <w:vAlign w:val="bottom"/>
            <w:hideMark/>
          </w:tcPr>
          <w:p w14:paraId="407D501B"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403 434,00 zł</w:t>
            </w:r>
          </w:p>
        </w:tc>
        <w:tc>
          <w:tcPr>
            <w:tcW w:w="998" w:type="dxa"/>
            <w:tcBorders>
              <w:top w:val="nil"/>
              <w:left w:val="nil"/>
              <w:bottom w:val="single" w:sz="4" w:space="0" w:color="auto"/>
              <w:right w:val="single" w:sz="4" w:space="0" w:color="auto"/>
            </w:tcBorders>
            <w:shd w:val="clear" w:color="auto" w:fill="auto"/>
            <w:noWrap/>
            <w:vAlign w:val="bottom"/>
            <w:hideMark/>
          </w:tcPr>
          <w:p w14:paraId="2276F24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3 817 138,50 zł</w:t>
            </w:r>
          </w:p>
        </w:tc>
      </w:tr>
      <w:tr w:rsidR="00A6616E" w:rsidRPr="00A6616E" w14:paraId="143F8B7E"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B105D2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2025</w:t>
            </w:r>
          </w:p>
        </w:tc>
        <w:tc>
          <w:tcPr>
            <w:tcW w:w="954" w:type="dxa"/>
            <w:tcBorders>
              <w:top w:val="nil"/>
              <w:left w:val="nil"/>
              <w:bottom w:val="single" w:sz="4" w:space="0" w:color="auto"/>
              <w:right w:val="single" w:sz="4" w:space="0" w:color="auto"/>
            </w:tcBorders>
            <w:shd w:val="clear" w:color="auto" w:fill="auto"/>
            <w:noWrap/>
            <w:vAlign w:val="bottom"/>
            <w:hideMark/>
          </w:tcPr>
          <w:p w14:paraId="1DD19EB8"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540000</w:t>
            </w:r>
          </w:p>
        </w:tc>
        <w:tc>
          <w:tcPr>
            <w:tcW w:w="424" w:type="dxa"/>
            <w:tcBorders>
              <w:top w:val="nil"/>
              <w:left w:val="nil"/>
              <w:bottom w:val="single" w:sz="4" w:space="0" w:color="auto"/>
              <w:right w:val="single" w:sz="4" w:space="0" w:color="auto"/>
            </w:tcBorders>
            <w:shd w:val="clear" w:color="auto" w:fill="auto"/>
            <w:noWrap/>
            <w:vAlign w:val="bottom"/>
            <w:hideMark/>
          </w:tcPr>
          <w:p w14:paraId="0DC2C99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04BD84E6"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75A01E81"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1ABF287C"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3280ECF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1710C53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215 946,00 zł</w:t>
            </w:r>
          </w:p>
        </w:tc>
        <w:tc>
          <w:tcPr>
            <w:tcW w:w="1071" w:type="dxa"/>
            <w:tcBorders>
              <w:top w:val="nil"/>
              <w:left w:val="nil"/>
              <w:bottom w:val="single" w:sz="4" w:space="0" w:color="auto"/>
              <w:right w:val="single" w:sz="4" w:space="0" w:color="auto"/>
            </w:tcBorders>
            <w:shd w:val="clear" w:color="auto" w:fill="auto"/>
            <w:noWrap/>
            <w:vAlign w:val="bottom"/>
            <w:hideMark/>
          </w:tcPr>
          <w:p w14:paraId="796A628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252 558,00 zł</w:t>
            </w:r>
          </w:p>
        </w:tc>
        <w:tc>
          <w:tcPr>
            <w:tcW w:w="1129" w:type="dxa"/>
            <w:tcBorders>
              <w:top w:val="nil"/>
              <w:left w:val="nil"/>
              <w:bottom w:val="single" w:sz="4" w:space="0" w:color="auto"/>
              <w:right w:val="single" w:sz="4" w:space="0" w:color="auto"/>
            </w:tcBorders>
            <w:shd w:val="clear" w:color="auto" w:fill="auto"/>
            <w:noWrap/>
            <w:vAlign w:val="bottom"/>
            <w:hideMark/>
          </w:tcPr>
          <w:p w14:paraId="01530B46"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4 216 860,00 zł</w:t>
            </w:r>
          </w:p>
        </w:tc>
        <w:tc>
          <w:tcPr>
            <w:tcW w:w="870" w:type="dxa"/>
            <w:tcBorders>
              <w:top w:val="nil"/>
              <w:left w:val="nil"/>
              <w:bottom w:val="single" w:sz="4" w:space="0" w:color="auto"/>
              <w:right w:val="single" w:sz="4" w:space="0" w:color="auto"/>
            </w:tcBorders>
            <w:shd w:val="clear" w:color="auto" w:fill="auto"/>
            <w:noWrap/>
            <w:vAlign w:val="bottom"/>
            <w:hideMark/>
          </w:tcPr>
          <w:p w14:paraId="69E42650"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468 504,00 zł</w:t>
            </w:r>
          </w:p>
        </w:tc>
        <w:tc>
          <w:tcPr>
            <w:tcW w:w="998" w:type="dxa"/>
            <w:tcBorders>
              <w:top w:val="nil"/>
              <w:left w:val="nil"/>
              <w:bottom w:val="single" w:sz="4" w:space="0" w:color="auto"/>
              <w:right w:val="single" w:sz="4" w:space="0" w:color="auto"/>
            </w:tcBorders>
            <w:shd w:val="clear" w:color="auto" w:fill="auto"/>
            <w:noWrap/>
            <w:vAlign w:val="bottom"/>
            <w:hideMark/>
          </w:tcPr>
          <w:p w14:paraId="709EB981"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4 432 806,00 zł</w:t>
            </w:r>
          </w:p>
        </w:tc>
      </w:tr>
      <w:tr w:rsidR="00A6616E" w:rsidRPr="00A6616E" w14:paraId="3BF873C9"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64D71D8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2026</w:t>
            </w:r>
          </w:p>
        </w:tc>
        <w:tc>
          <w:tcPr>
            <w:tcW w:w="954" w:type="dxa"/>
            <w:tcBorders>
              <w:top w:val="nil"/>
              <w:left w:val="nil"/>
              <w:bottom w:val="single" w:sz="4" w:space="0" w:color="auto"/>
              <w:right w:val="single" w:sz="4" w:space="0" w:color="auto"/>
            </w:tcBorders>
            <w:shd w:val="clear" w:color="auto" w:fill="auto"/>
            <w:noWrap/>
            <w:vAlign w:val="bottom"/>
            <w:hideMark/>
          </w:tcPr>
          <w:p w14:paraId="2B951CE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615000</w:t>
            </w:r>
          </w:p>
        </w:tc>
        <w:tc>
          <w:tcPr>
            <w:tcW w:w="424" w:type="dxa"/>
            <w:tcBorders>
              <w:top w:val="nil"/>
              <w:left w:val="nil"/>
              <w:bottom w:val="single" w:sz="4" w:space="0" w:color="auto"/>
              <w:right w:val="single" w:sz="4" w:space="0" w:color="auto"/>
            </w:tcBorders>
            <w:shd w:val="clear" w:color="auto" w:fill="auto"/>
            <w:noWrap/>
            <w:vAlign w:val="bottom"/>
            <w:hideMark/>
          </w:tcPr>
          <w:p w14:paraId="1281FD9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1FE979F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5AF9E8B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40611CA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689515A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A6C591F"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245 938,50 zł</w:t>
            </w:r>
          </w:p>
        </w:tc>
        <w:tc>
          <w:tcPr>
            <w:tcW w:w="1071" w:type="dxa"/>
            <w:tcBorders>
              <w:top w:val="nil"/>
              <w:left w:val="nil"/>
              <w:bottom w:val="single" w:sz="4" w:space="0" w:color="auto"/>
              <w:right w:val="single" w:sz="4" w:space="0" w:color="auto"/>
            </w:tcBorders>
            <w:shd w:val="clear" w:color="auto" w:fill="auto"/>
            <w:noWrap/>
            <w:vAlign w:val="bottom"/>
            <w:hideMark/>
          </w:tcPr>
          <w:p w14:paraId="69A3CF9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287 635,50 zł</w:t>
            </w:r>
          </w:p>
        </w:tc>
        <w:tc>
          <w:tcPr>
            <w:tcW w:w="1129" w:type="dxa"/>
            <w:tcBorders>
              <w:top w:val="nil"/>
              <w:left w:val="nil"/>
              <w:bottom w:val="single" w:sz="4" w:space="0" w:color="auto"/>
              <w:right w:val="single" w:sz="4" w:space="0" w:color="auto"/>
            </w:tcBorders>
            <w:shd w:val="clear" w:color="auto" w:fill="auto"/>
            <w:noWrap/>
            <w:vAlign w:val="bottom"/>
            <w:hideMark/>
          </w:tcPr>
          <w:p w14:paraId="4C6042E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4 802 535,00 zł</w:t>
            </w:r>
          </w:p>
        </w:tc>
        <w:tc>
          <w:tcPr>
            <w:tcW w:w="870" w:type="dxa"/>
            <w:tcBorders>
              <w:top w:val="nil"/>
              <w:left w:val="nil"/>
              <w:bottom w:val="single" w:sz="4" w:space="0" w:color="auto"/>
              <w:right w:val="single" w:sz="4" w:space="0" w:color="auto"/>
            </w:tcBorders>
            <w:shd w:val="clear" w:color="auto" w:fill="auto"/>
            <w:noWrap/>
            <w:vAlign w:val="bottom"/>
            <w:hideMark/>
          </w:tcPr>
          <w:p w14:paraId="23F275DA"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533 574,00 zł</w:t>
            </w:r>
          </w:p>
        </w:tc>
        <w:tc>
          <w:tcPr>
            <w:tcW w:w="998" w:type="dxa"/>
            <w:tcBorders>
              <w:top w:val="nil"/>
              <w:left w:val="nil"/>
              <w:bottom w:val="single" w:sz="4" w:space="0" w:color="auto"/>
              <w:right w:val="single" w:sz="4" w:space="0" w:color="auto"/>
            </w:tcBorders>
            <w:shd w:val="clear" w:color="auto" w:fill="auto"/>
            <w:noWrap/>
            <w:vAlign w:val="bottom"/>
            <w:hideMark/>
          </w:tcPr>
          <w:p w14:paraId="279FE3F2"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5 048 473,50 zł</w:t>
            </w:r>
          </w:p>
        </w:tc>
      </w:tr>
      <w:tr w:rsidR="00A6616E" w:rsidRPr="00A6616E" w14:paraId="1359675C"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57EBAB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2027</w:t>
            </w:r>
          </w:p>
        </w:tc>
        <w:tc>
          <w:tcPr>
            <w:tcW w:w="954" w:type="dxa"/>
            <w:tcBorders>
              <w:top w:val="nil"/>
              <w:left w:val="nil"/>
              <w:bottom w:val="single" w:sz="4" w:space="0" w:color="auto"/>
              <w:right w:val="single" w:sz="4" w:space="0" w:color="auto"/>
            </w:tcBorders>
            <w:shd w:val="clear" w:color="auto" w:fill="auto"/>
            <w:noWrap/>
            <w:vAlign w:val="bottom"/>
            <w:hideMark/>
          </w:tcPr>
          <w:p w14:paraId="29CCD585"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690000</w:t>
            </w:r>
          </w:p>
        </w:tc>
        <w:tc>
          <w:tcPr>
            <w:tcW w:w="424" w:type="dxa"/>
            <w:tcBorders>
              <w:top w:val="nil"/>
              <w:left w:val="nil"/>
              <w:bottom w:val="single" w:sz="4" w:space="0" w:color="auto"/>
              <w:right w:val="single" w:sz="4" w:space="0" w:color="auto"/>
            </w:tcBorders>
            <w:shd w:val="clear" w:color="auto" w:fill="auto"/>
            <w:noWrap/>
            <w:vAlign w:val="bottom"/>
            <w:hideMark/>
          </w:tcPr>
          <w:p w14:paraId="3228122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64D3CE8"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1C2668D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08911B2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41CABA1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195132C3"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275 931,00 zł</w:t>
            </w:r>
          </w:p>
        </w:tc>
        <w:tc>
          <w:tcPr>
            <w:tcW w:w="1071" w:type="dxa"/>
            <w:tcBorders>
              <w:top w:val="nil"/>
              <w:left w:val="nil"/>
              <w:bottom w:val="single" w:sz="4" w:space="0" w:color="auto"/>
              <w:right w:val="single" w:sz="4" w:space="0" w:color="auto"/>
            </w:tcBorders>
            <w:shd w:val="clear" w:color="auto" w:fill="auto"/>
            <w:noWrap/>
            <w:vAlign w:val="bottom"/>
            <w:hideMark/>
          </w:tcPr>
          <w:p w14:paraId="5B151DB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322 713,00 zł</w:t>
            </w:r>
          </w:p>
        </w:tc>
        <w:tc>
          <w:tcPr>
            <w:tcW w:w="1129" w:type="dxa"/>
            <w:tcBorders>
              <w:top w:val="nil"/>
              <w:left w:val="nil"/>
              <w:bottom w:val="single" w:sz="4" w:space="0" w:color="auto"/>
              <w:right w:val="single" w:sz="4" w:space="0" w:color="auto"/>
            </w:tcBorders>
            <w:shd w:val="clear" w:color="auto" w:fill="auto"/>
            <w:noWrap/>
            <w:vAlign w:val="bottom"/>
            <w:hideMark/>
          </w:tcPr>
          <w:p w14:paraId="5422864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5 388 210,00 zł</w:t>
            </w:r>
          </w:p>
        </w:tc>
        <w:tc>
          <w:tcPr>
            <w:tcW w:w="870" w:type="dxa"/>
            <w:tcBorders>
              <w:top w:val="nil"/>
              <w:left w:val="nil"/>
              <w:bottom w:val="single" w:sz="4" w:space="0" w:color="auto"/>
              <w:right w:val="single" w:sz="4" w:space="0" w:color="auto"/>
            </w:tcBorders>
            <w:shd w:val="clear" w:color="auto" w:fill="auto"/>
            <w:noWrap/>
            <w:vAlign w:val="bottom"/>
            <w:hideMark/>
          </w:tcPr>
          <w:p w14:paraId="4B86D2A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598 644,00 zł</w:t>
            </w:r>
          </w:p>
        </w:tc>
        <w:tc>
          <w:tcPr>
            <w:tcW w:w="998" w:type="dxa"/>
            <w:tcBorders>
              <w:top w:val="nil"/>
              <w:left w:val="nil"/>
              <w:bottom w:val="single" w:sz="4" w:space="0" w:color="auto"/>
              <w:right w:val="single" w:sz="4" w:space="0" w:color="auto"/>
            </w:tcBorders>
            <w:shd w:val="clear" w:color="auto" w:fill="auto"/>
            <w:noWrap/>
            <w:vAlign w:val="bottom"/>
            <w:hideMark/>
          </w:tcPr>
          <w:p w14:paraId="0E4BF742"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5 664 141,00 zł</w:t>
            </w:r>
          </w:p>
        </w:tc>
      </w:tr>
      <w:tr w:rsidR="00A6616E" w:rsidRPr="00A6616E" w14:paraId="438B66D5"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67DEF9BA"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2028</w:t>
            </w:r>
          </w:p>
        </w:tc>
        <w:tc>
          <w:tcPr>
            <w:tcW w:w="954" w:type="dxa"/>
            <w:tcBorders>
              <w:top w:val="nil"/>
              <w:left w:val="nil"/>
              <w:bottom w:val="single" w:sz="4" w:space="0" w:color="auto"/>
              <w:right w:val="single" w:sz="4" w:space="0" w:color="auto"/>
            </w:tcBorders>
            <w:shd w:val="clear" w:color="auto" w:fill="auto"/>
            <w:noWrap/>
            <w:vAlign w:val="bottom"/>
            <w:hideMark/>
          </w:tcPr>
          <w:p w14:paraId="701F557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765000</w:t>
            </w:r>
          </w:p>
        </w:tc>
        <w:tc>
          <w:tcPr>
            <w:tcW w:w="424" w:type="dxa"/>
            <w:tcBorders>
              <w:top w:val="nil"/>
              <w:left w:val="nil"/>
              <w:bottom w:val="single" w:sz="4" w:space="0" w:color="auto"/>
              <w:right w:val="single" w:sz="4" w:space="0" w:color="auto"/>
            </w:tcBorders>
            <w:shd w:val="clear" w:color="auto" w:fill="auto"/>
            <w:noWrap/>
            <w:vAlign w:val="bottom"/>
            <w:hideMark/>
          </w:tcPr>
          <w:p w14:paraId="7D1DE06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7E38036C"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45E8453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7AB50A8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0E60CC6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28F829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305 923,50 zł</w:t>
            </w:r>
          </w:p>
        </w:tc>
        <w:tc>
          <w:tcPr>
            <w:tcW w:w="1071" w:type="dxa"/>
            <w:tcBorders>
              <w:top w:val="nil"/>
              <w:left w:val="nil"/>
              <w:bottom w:val="single" w:sz="4" w:space="0" w:color="auto"/>
              <w:right w:val="single" w:sz="4" w:space="0" w:color="auto"/>
            </w:tcBorders>
            <w:shd w:val="clear" w:color="auto" w:fill="auto"/>
            <w:noWrap/>
            <w:vAlign w:val="bottom"/>
            <w:hideMark/>
          </w:tcPr>
          <w:p w14:paraId="46917A2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357 790,50 zł</w:t>
            </w:r>
          </w:p>
        </w:tc>
        <w:tc>
          <w:tcPr>
            <w:tcW w:w="1129" w:type="dxa"/>
            <w:tcBorders>
              <w:top w:val="nil"/>
              <w:left w:val="nil"/>
              <w:bottom w:val="single" w:sz="4" w:space="0" w:color="auto"/>
              <w:right w:val="single" w:sz="4" w:space="0" w:color="auto"/>
            </w:tcBorders>
            <w:shd w:val="clear" w:color="auto" w:fill="auto"/>
            <w:noWrap/>
            <w:vAlign w:val="bottom"/>
            <w:hideMark/>
          </w:tcPr>
          <w:p w14:paraId="5608E757"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5 973 885,00 zł</w:t>
            </w:r>
          </w:p>
        </w:tc>
        <w:tc>
          <w:tcPr>
            <w:tcW w:w="870" w:type="dxa"/>
            <w:tcBorders>
              <w:top w:val="nil"/>
              <w:left w:val="nil"/>
              <w:bottom w:val="single" w:sz="4" w:space="0" w:color="auto"/>
              <w:right w:val="single" w:sz="4" w:space="0" w:color="auto"/>
            </w:tcBorders>
            <w:shd w:val="clear" w:color="auto" w:fill="auto"/>
            <w:noWrap/>
            <w:vAlign w:val="bottom"/>
            <w:hideMark/>
          </w:tcPr>
          <w:p w14:paraId="2E9FCA06"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663 714,00 zł</w:t>
            </w:r>
          </w:p>
        </w:tc>
        <w:tc>
          <w:tcPr>
            <w:tcW w:w="998" w:type="dxa"/>
            <w:tcBorders>
              <w:top w:val="nil"/>
              <w:left w:val="nil"/>
              <w:bottom w:val="single" w:sz="4" w:space="0" w:color="auto"/>
              <w:right w:val="single" w:sz="4" w:space="0" w:color="auto"/>
            </w:tcBorders>
            <w:shd w:val="clear" w:color="auto" w:fill="auto"/>
            <w:noWrap/>
            <w:vAlign w:val="bottom"/>
            <w:hideMark/>
          </w:tcPr>
          <w:p w14:paraId="431624B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6 279 808,50 zł</w:t>
            </w:r>
          </w:p>
        </w:tc>
      </w:tr>
      <w:tr w:rsidR="00A6616E" w:rsidRPr="00A6616E" w14:paraId="6EC5F380" w14:textId="77777777" w:rsidTr="009E7E5B">
        <w:trPr>
          <w:trHeight w:val="321"/>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F4D7DD"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2029</w:t>
            </w:r>
          </w:p>
        </w:tc>
        <w:tc>
          <w:tcPr>
            <w:tcW w:w="954" w:type="dxa"/>
            <w:tcBorders>
              <w:top w:val="nil"/>
              <w:left w:val="nil"/>
              <w:bottom w:val="single" w:sz="4" w:space="0" w:color="auto"/>
              <w:right w:val="single" w:sz="4" w:space="0" w:color="auto"/>
            </w:tcBorders>
            <w:shd w:val="clear" w:color="auto" w:fill="auto"/>
            <w:noWrap/>
            <w:vAlign w:val="bottom"/>
            <w:hideMark/>
          </w:tcPr>
          <w:p w14:paraId="2D0A150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840000</w:t>
            </w:r>
          </w:p>
        </w:tc>
        <w:tc>
          <w:tcPr>
            <w:tcW w:w="424" w:type="dxa"/>
            <w:tcBorders>
              <w:top w:val="nil"/>
              <w:left w:val="nil"/>
              <w:bottom w:val="single" w:sz="4" w:space="0" w:color="auto"/>
              <w:right w:val="single" w:sz="4" w:space="0" w:color="auto"/>
            </w:tcBorders>
            <w:shd w:val="clear" w:color="auto" w:fill="auto"/>
            <w:noWrap/>
            <w:vAlign w:val="bottom"/>
            <w:hideMark/>
          </w:tcPr>
          <w:p w14:paraId="76D46110"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60%</w:t>
            </w:r>
          </w:p>
        </w:tc>
        <w:tc>
          <w:tcPr>
            <w:tcW w:w="347" w:type="dxa"/>
            <w:tcBorders>
              <w:top w:val="nil"/>
              <w:left w:val="nil"/>
              <w:bottom w:val="single" w:sz="4" w:space="0" w:color="auto"/>
              <w:right w:val="single" w:sz="4" w:space="0" w:color="auto"/>
            </w:tcBorders>
            <w:shd w:val="clear" w:color="auto" w:fill="auto"/>
            <w:noWrap/>
            <w:vAlign w:val="bottom"/>
            <w:hideMark/>
          </w:tcPr>
          <w:p w14:paraId="4C9C8844"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5%</w:t>
            </w:r>
          </w:p>
        </w:tc>
        <w:tc>
          <w:tcPr>
            <w:tcW w:w="870" w:type="dxa"/>
            <w:tcBorders>
              <w:top w:val="nil"/>
              <w:left w:val="nil"/>
              <w:bottom w:val="single" w:sz="4" w:space="0" w:color="auto"/>
              <w:right w:val="single" w:sz="4" w:space="0" w:color="auto"/>
            </w:tcBorders>
            <w:shd w:val="clear" w:color="auto" w:fill="auto"/>
            <w:noWrap/>
            <w:vAlign w:val="bottom"/>
            <w:hideMark/>
          </w:tcPr>
          <w:p w14:paraId="2C247072"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13,33 zł</w:t>
            </w:r>
          </w:p>
        </w:tc>
        <w:tc>
          <w:tcPr>
            <w:tcW w:w="852" w:type="dxa"/>
            <w:tcBorders>
              <w:top w:val="nil"/>
              <w:left w:val="nil"/>
              <w:bottom w:val="single" w:sz="4" w:space="0" w:color="auto"/>
              <w:right w:val="single" w:sz="4" w:space="0" w:color="auto"/>
            </w:tcBorders>
            <w:shd w:val="clear" w:color="auto" w:fill="auto"/>
            <w:noWrap/>
            <w:vAlign w:val="bottom"/>
            <w:hideMark/>
          </w:tcPr>
          <w:p w14:paraId="0CFA93CB"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15,59 zł</w:t>
            </w:r>
          </w:p>
        </w:tc>
        <w:tc>
          <w:tcPr>
            <w:tcW w:w="981" w:type="dxa"/>
            <w:tcBorders>
              <w:top w:val="nil"/>
              <w:left w:val="nil"/>
              <w:bottom w:val="single" w:sz="4" w:space="0" w:color="auto"/>
              <w:right w:val="single" w:sz="4" w:space="0" w:color="auto"/>
            </w:tcBorders>
            <w:shd w:val="clear" w:color="auto" w:fill="auto"/>
            <w:noWrap/>
            <w:vAlign w:val="bottom"/>
            <w:hideMark/>
          </w:tcPr>
          <w:p w14:paraId="04048613"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260,30 zł</w:t>
            </w:r>
          </w:p>
        </w:tc>
        <w:tc>
          <w:tcPr>
            <w:tcW w:w="1071" w:type="dxa"/>
            <w:tcBorders>
              <w:top w:val="nil"/>
              <w:left w:val="nil"/>
              <w:bottom w:val="single" w:sz="4" w:space="0" w:color="auto"/>
              <w:right w:val="single" w:sz="4" w:space="0" w:color="auto"/>
            </w:tcBorders>
            <w:shd w:val="clear" w:color="auto" w:fill="auto"/>
            <w:noWrap/>
            <w:vAlign w:val="bottom"/>
            <w:hideMark/>
          </w:tcPr>
          <w:p w14:paraId="3C984AA3"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335 916,00 zł</w:t>
            </w:r>
          </w:p>
        </w:tc>
        <w:tc>
          <w:tcPr>
            <w:tcW w:w="1071" w:type="dxa"/>
            <w:tcBorders>
              <w:top w:val="nil"/>
              <w:left w:val="nil"/>
              <w:bottom w:val="single" w:sz="4" w:space="0" w:color="auto"/>
              <w:right w:val="single" w:sz="4" w:space="0" w:color="auto"/>
            </w:tcBorders>
            <w:shd w:val="clear" w:color="auto" w:fill="auto"/>
            <w:noWrap/>
            <w:vAlign w:val="bottom"/>
            <w:hideMark/>
          </w:tcPr>
          <w:p w14:paraId="397430D9"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392 868,00 zł</w:t>
            </w:r>
          </w:p>
        </w:tc>
        <w:tc>
          <w:tcPr>
            <w:tcW w:w="1129" w:type="dxa"/>
            <w:tcBorders>
              <w:top w:val="nil"/>
              <w:left w:val="nil"/>
              <w:bottom w:val="single" w:sz="4" w:space="0" w:color="auto"/>
              <w:right w:val="single" w:sz="4" w:space="0" w:color="auto"/>
            </w:tcBorders>
            <w:shd w:val="clear" w:color="auto" w:fill="auto"/>
            <w:noWrap/>
            <w:vAlign w:val="bottom"/>
            <w:hideMark/>
          </w:tcPr>
          <w:p w14:paraId="3982C24F" w14:textId="77777777" w:rsidR="00A6616E" w:rsidRPr="00A6616E" w:rsidRDefault="00A6616E" w:rsidP="00A6616E">
            <w:pPr>
              <w:spacing w:line="240" w:lineRule="auto"/>
              <w:jc w:val="right"/>
              <w:rPr>
                <w:rFonts w:ascii="Times New Roman" w:eastAsia="Times New Roman" w:hAnsi="Times New Roman"/>
                <w:color w:val="000000"/>
                <w:sz w:val="16"/>
                <w:szCs w:val="16"/>
                <w:lang w:eastAsia="pl-PL"/>
              </w:rPr>
            </w:pPr>
            <w:r w:rsidRPr="00A6616E">
              <w:rPr>
                <w:rFonts w:ascii="Times New Roman" w:eastAsia="Times New Roman" w:hAnsi="Times New Roman"/>
                <w:color w:val="000000"/>
                <w:sz w:val="16"/>
                <w:szCs w:val="16"/>
                <w:lang w:eastAsia="pl-PL"/>
              </w:rPr>
              <w:t>6 559 560,00 zł</w:t>
            </w:r>
          </w:p>
        </w:tc>
        <w:tc>
          <w:tcPr>
            <w:tcW w:w="870" w:type="dxa"/>
            <w:tcBorders>
              <w:top w:val="nil"/>
              <w:left w:val="nil"/>
              <w:bottom w:val="single" w:sz="4" w:space="0" w:color="auto"/>
              <w:right w:val="single" w:sz="4" w:space="0" w:color="auto"/>
            </w:tcBorders>
            <w:shd w:val="clear" w:color="auto" w:fill="auto"/>
            <w:noWrap/>
            <w:vAlign w:val="bottom"/>
            <w:hideMark/>
          </w:tcPr>
          <w:p w14:paraId="6865237E"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728 784,00 zł</w:t>
            </w:r>
          </w:p>
        </w:tc>
        <w:tc>
          <w:tcPr>
            <w:tcW w:w="998" w:type="dxa"/>
            <w:tcBorders>
              <w:top w:val="nil"/>
              <w:left w:val="nil"/>
              <w:bottom w:val="single" w:sz="4" w:space="0" w:color="auto"/>
              <w:right w:val="single" w:sz="4" w:space="0" w:color="auto"/>
            </w:tcBorders>
            <w:shd w:val="clear" w:color="auto" w:fill="auto"/>
            <w:noWrap/>
            <w:vAlign w:val="bottom"/>
            <w:hideMark/>
          </w:tcPr>
          <w:p w14:paraId="0B0F8DF7" w14:textId="77777777" w:rsidR="00A6616E" w:rsidRPr="00A6616E" w:rsidRDefault="00A6616E" w:rsidP="00A6616E">
            <w:pPr>
              <w:spacing w:line="240" w:lineRule="auto"/>
              <w:jc w:val="right"/>
              <w:rPr>
                <w:rFonts w:ascii="Times New Roman" w:eastAsia="Times New Roman" w:hAnsi="Times New Roman"/>
                <w:sz w:val="16"/>
                <w:szCs w:val="16"/>
                <w:lang w:eastAsia="pl-PL"/>
              </w:rPr>
            </w:pPr>
            <w:r w:rsidRPr="00A6616E">
              <w:rPr>
                <w:rFonts w:ascii="Times New Roman" w:eastAsia="Times New Roman" w:hAnsi="Times New Roman"/>
                <w:sz w:val="16"/>
                <w:szCs w:val="16"/>
                <w:lang w:eastAsia="pl-PL"/>
              </w:rPr>
              <w:t>6 895 476,00 zł</w:t>
            </w:r>
          </w:p>
        </w:tc>
      </w:tr>
      <w:tr w:rsidR="00A6616E" w:rsidRPr="00A6616E" w14:paraId="495EF736" w14:textId="77777777" w:rsidTr="009E7E5B">
        <w:trPr>
          <w:trHeight w:val="321"/>
        </w:trPr>
        <w:tc>
          <w:tcPr>
            <w:tcW w:w="902" w:type="dxa"/>
            <w:tcBorders>
              <w:top w:val="nil"/>
              <w:left w:val="single" w:sz="4" w:space="0" w:color="auto"/>
              <w:bottom w:val="single" w:sz="4" w:space="0" w:color="auto"/>
              <w:right w:val="single" w:sz="4" w:space="0" w:color="auto"/>
            </w:tcBorders>
            <w:shd w:val="clear" w:color="000000" w:fill="D9E1F2"/>
            <w:noWrap/>
            <w:vAlign w:val="bottom"/>
            <w:hideMark/>
          </w:tcPr>
          <w:p w14:paraId="3B1B6D3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Suma</w:t>
            </w:r>
          </w:p>
        </w:tc>
        <w:tc>
          <w:tcPr>
            <w:tcW w:w="954" w:type="dxa"/>
            <w:tcBorders>
              <w:top w:val="nil"/>
              <w:left w:val="nil"/>
              <w:bottom w:val="single" w:sz="4" w:space="0" w:color="auto"/>
              <w:right w:val="single" w:sz="4" w:space="0" w:color="auto"/>
            </w:tcBorders>
            <w:shd w:val="clear" w:color="000000" w:fill="D9E1F2"/>
            <w:noWrap/>
            <w:vAlign w:val="bottom"/>
            <w:hideMark/>
          </w:tcPr>
          <w:p w14:paraId="263A7AD4"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3 915 000</w:t>
            </w:r>
          </w:p>
        </w:tc>
        <w:tc>
          <w:tcPr>
            <w:tcW w:w="424" w:type="dxa"/>
            <w:tcBorders>
              <w:top w:val="nil"/>
              <w:left w:val="nil"/>
              <w:bottom w:val="single" w:sz="4" w:space="0" w:color="auto"/>
              <w:right w:val="single" w:sz="4" w:space="0" w:color="auto"/>
            </w:tcBorders>
            <w:shd w:val="clear" w:color="auto" w:fill="auto"/>
            <w:noWrap/>
            <w:vAlign w:val="bottom"/>
            <w:hideMark/>
          </w:tcPr>
          <w:p w14:paraId="2C86DD4D"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347" w:type="dxa"/>
            <w:tcBorders>
              <w:top w:val="nil"/>
              <w:left w:val="nil"/>
              <w:bottom w:val="single" w:sz="4" w:space="0" w:color="auto"/>
              <w:right w:val="single" w:sz="4" w:space="0" w:color="auto"/>
            </w:tcBorders>
            <w:shd w:val="clear" w:color="auto" w:fill="auto"/>
            <w:noWrap/>
            <w:vAlign w:val="bottom"/>
            <w:hideMark/>
          </w:tcPr>
          <w:p w14:paraId="4CE494FC"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834625B"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14:paraId="0CAE42F5"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981" w:type="dxa"/>
            <w:tcBorders>
              <w:top w:val="nil"/>
              <w:left w:val="nil"/>
              <w:bottom w:val="single" w:sz="4" w:space="0" w:color="auto"/>
              <w:right w:val="single" w:sz="4" w:space="0" w:color="auto"/>
            </w:tcBorders>
            <w:shd w:val="clear" w:color="auto" w:fill="auto"/>
            <w:noWrap/>
            <w:vAlign w:val="bottom"/>
            <w:hideMark/>
          </w:tcPr>
          <w:p w14:paraId="144B7B4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1071" w:type="dxa"/>
            <w:tcBorders>
              <w:top w:val="nil"/>
              <w:left w:val="nil"/>
              <w:bottom w:val="single" w:sz="4" w:space="0" w:color="auto"/>
              <w:right w:val="single" w:sz="4" w:space="0" w:color="auto"/>
            </w:tcBorders>
            <w:shd w:val="clear" w:color="000000" w:fill="D9E1F2"/>
            <w:noWrap/>
            <w:vAlign w:val="bottom"/>
            <w:hideMark/>
          </w:tcPr>
          <w:p w14:paraId="2EC46D0B"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1 565 608,50 zł</w:t>
            </w:r>
          </w:p>
        </w:tc>
        <w:tc>
          <w:tcPr>
            <w:tcW w:w="1071" w:type="dxa"/>
            <w:tcBorders>
              <w:top w:val="nil"/>
              <w:left w:val="nil"/>
              <w:bottom w:val="single" w:sz="4" w:space="0" w:color="auto"/>
              <w:right w:val="single" w:sz="4" w:space="0" w:color="auto"/>
            </w:tcBorders>
            <w:shd w:val="clear" w:color="000000" w:fill="D9E1F2"/>
            <w:noWrap/>
            <w:vAlign w:val="bottom"/>
            <w:hideMark/>
          </w:tcPr>
          <w:p w14:paraId="4097FF36"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1 831 045,50 zł</w:t>
            </w:r>
          </w:p>
        </w:tc>
        <w:tc>
          <w:tcPr>
            <w:tcW w:w="1129" w:type="dxa"/>
            <w:tcBorders>
              <w:top w:val="nil"/>
              <w:left w:val="nil"/>
              <w:bottom w:val="single" w:sz="4" w:space="0" w:color="auto"/>
              <w:right w:val="single" w:sz="4" w:space="0" w:color="auto"/>
            </w:tcBorders>
            <w:shd w:val="clear" w:color="000000" w:fill="D9E1F2"/>
            <w:noWrap/>
            <w:vAlign w:val="bottom"/>
            <w:hideMark/>
          </w:tcPr>
          <w:p w14:paraId="222687A5"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30 572 235,00 zł</w:t>
            </w:r>
          </w:p>
        </w:tc>
        <w:tc>
          <w:tcPr>
            <w:tcW w:w="870" w:type="dxa"/>
            <w:tcBorders>
              <w:top w:val="nil"/>
              <w:left w:val="nil"/>
              <w:bottom w:val="single" w:sz="4" w:space="0" w:color="auto"/>
              <w:right w:val="single" w:sz="4" w:space="0" w:color="auto"/>
            </w:tcBorders>
            <w:shd w:val="clear" w:color="000000" w:fill="D9E1F2"/>
            <w:noWrap/>
            <w:vAlign w:val="bottom"/>
            <w:hideMark/>
          </w:tcPr>
          <w:p w14:paraId="3B2E944B"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3 396 654,00zł</w:t>
            </w:r>
          </w:p>
        </w:tc>
        <w:tc>
          <w:tcPr>
            <w:tcW w:w="998" w:type="dxa"/>
            <w:tcBorders>
              <w:top w:val="nil"/>
              <w:left w:val="nil"/>
              <w:bottom w:val="single" w:sz="4" w:space="0" w:color="auto"/>
              <w:right w:val="single" w:sz="4" w:space="0" w:color="auto"/>
            </w:tcBorders>
            <w:shd w:val="clear" w:color="000000" w:fill="D9E1F2"/>
            <w:noWrap/>
            <w:vAlign w:val="bottom"/>
            <w:hideMark/>
          </w:tcPr>
          <w:p w14:paraId="04FBC270"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32 137 843,50zł</w:t>
            </w:r>
          </w:p>
        </w:tc>
      </w:tr>
      <w:tr w:rsidR="00A6616E" w:rsidRPr="00A6616E" w14:paraId="65ADBEBD" w14:textId="77777777" w:rsidTr="009E7E5B">
        <w:trPr>
          <w:trHeight w:val="321"/>
        </w:trPr>
        <w:tc>
          <w:tcPr>
            <w:tcW w:w="902" w:type="dxa"/>
            <w:tcBorders>
              <w:top w:val="nil"/>
              <w:left w:val="single" w:sz="4" w:space="0" w:color="auto"/>
              <w:bottom w:val="single" w:sz="4" w:space="0" w:color="auto"/>
              <w:right w:val="single" w:sz="4" w:space="0" w:color="auto"/>
            </w:tcBorders>
            <w:shd w:val="clear" w:color="000000" w:fill="D9E1F2"/>
            <w:noWrap/>
            <w:vAlign w:val="bottom"/>
            <w:hideMark/>
          </w:tcPr>
          <w:p w14:paraId="5B3EB91E"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Średnio na 1 MWh</w:t>
            </w:r>
          </w:p>
        </w:tc>
        <w:tc>
          <w:tcPr>
            <w:tcW w:w="954" w:type="dxa"/>
            <w:tcBorders>
              <w:top w:val="nil"/>
              <w:left w:val="nil"/>
              <w:bottom w:val="single" w:sz="4" w:space="0" w:color="auto"/>
              <w:right w:val="single" w:sz="4" w:space="0" w:color="auto"/>
            </w:tcBorders>
            <w:shd w:val="clear" w:color="000000" w:fill="D9E1F2"/>
            <w:noWrap/>
            <w:vAlign w:val="bottom"/>
            <w:hideMark/>
          </w:tcPr>
          <w:p w14:paraId="1050A05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424" w:type="dxa"/>
            <w:tcBorders>
              <w:top w:val="nil"/>
              <w:left w:val="nil"/>
              <w:bottom w:val="single" w:sz="4" w:space="0" w:color="auto"/>
              <w:right w:val="single" w:sz="4" w:space="0" w:color="auto"/>
            </w:tcBorders>
            <w:shd w:val="clear" w:color="auto" w:fill="auto"/>
            <w:noWrap/>
            <w:vAlign w:val="bottom"/>
            <w:hideMark/>
          </w:tcPr>
          <w:p w14:paraId="00233D4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347" w:type="dxa"/>
            <w:tcBorders>
              <w:top w:val="nil"/>
              <w:left w:val="nil"/>
              <w:bottom w:val="single" w:sz="4" w:space="0" w:color="auto"/>
              <w:right w:val="single" w:sz="4" w:space="0" w:color="auto"/>
            </w:tcBorders>
            <w:shd w:val="clear" w:color="auto" w:fill="auto"/>
            <w:noWrap/>
            <w:vAlign w:val="bottom"/>
            <w:hideMark/>
          </w:tcPr>
          <w:p w14:paraId="62F1F427"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7305A93"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852" w:type="dxa"/>
            <w:tcBorders>
              <w:top w:val="nil"/>
              <w:left w:val="nil"/>
              <w:bottom w:val="single" w:sz="4" w:space="0" w:color="auto"/>
              <w:right w:val="single" w:sz="4" w:space="0" w:color="auto"/>
            </w:tcBorders>
            <w:shd w:val="clear" w:color="auto" w:fill="auto"/>
            <w:noWrap/>
            <w:vAlign w:val="bottom"/>
            <w:hideMark/>
          </w:tcPr>
          <w:p w14:paraId="150FC2E6"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981" w:type="dxa"/>
            <w:tcBorders>
              <w:top w:val="nil"/>
              <w:left w:val="nil"/>
              <w:bottom w:val="single" w:sz="4" w:space="0" w:color="auto"/>
              <w:right w:val="single" w:sz="4" w:space="0" w:color="auto"/>
            </w:tcBorders>
            <w:shd w:val="clear" w:color="auto" w:fill="auto"/>
            <w:noWrap/>
            <w:vAlign w:val="bottom"/>
            <w:hideMark/>
          </w:tcPr>
          <w:p w14:paraId="18B4B106" w14:textId="77777777" w:rsidR="00A6616E" w:rsidRPr="00A6616E" w:rsidRDefault="00A6616E" w:rsidP="00A6616E">
            <w:pPr>
              <w:spacing w:line="240" w:lineRule="auto"/>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 </w:t>
            </w:r>
          </w:p>
        </w:tc>
        <w:tc>
          <w:tcPr>
            <w:tcW w:w="1071" w:type="dxa"/>
            <w:tcBorders>
              <w:top w:val="nil"/>
              <w:left w:val="nil"/>
              <w:bottom w:val="single" w:sz="4" w:space="0" w:color="auto"/>
              <w:right w:val="single" w:sz="4" w:space="0" w:color="auto"/>
            </w:tcBorders>
            <w:shd w:val="clear" w:color="000000" w:fill="D9E1F2"/>
            <w:noWrap/>
            <w:vAlign w:val="bottom"/>
            <w:hideMark/>
          </w:tcPr>
          <w:p w14:paraId="66F7E0E2"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0,40 zł</w:t>
            </w:r>
          </w:p>
        </w:tc>
        <w:tc>
          <w:tcPr>
            <w:tcW w:w="1071" w:type="dxa"/>
            <w:tcBorders>
              <w:top w:val="nil"/>
              <w:left w:val="nil"/>
              <w:bottom w:val="single" w:sz="4" w:space="0" w:color="auto"/>
              <w:right w:val="single" w:sz="4" w:space="0" w:color="auto"/>
            </w:tcBorders>
            <w:shd w:val="clear" w:color="000000" w:fill="D9E1F2"/>
            <w:noWrap/>
            <w:vAlign w:val="bottom"/>
            <w:hideMark/>
          </w:tcPr>
          <w:p w14:paraId="4E7B36A9"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0,47 zł</w:t>
            </w:r>
          </w:p>
        </w:tc>
        <w:tc>
          <w:tcPr>
            <w:tcW w:w="1129" w:type="dxa"/>
            <w:tcBorders>
              <w:top w:val="nil"/>
              <w:left w:val="nil"/>
              <w:bottom w:val="single" w:sz="4" w:space="0" w:color="auto"/>
              <w:right w:val="single" w:sz="4" w:space="0" w:color="auto"/>
            </w:tcBorders>
            <w:shd w:val="clear" w:color="000000" w:fill="D9E1F2"/>
            <w:noWrap/>
            <w:vAlign w:val="bottom"/>
            <w:hideMark/>
          </w:tcPr>
          <w:p w14:paraId="67ECD532" w14:textId="77777777" w:rsidR="00A6616E" w:rsidRPr="00A6616E" w:rsidRDefault="00A6616E" w:rsidP="00A6616E">
            <w:pPr>
              <w:spacing w:line="240" w:lineRule="auto"/>
              <w:jc w:val="right"/>
              <w:rPr>
                <w:rFonts w:ascii="Times New Roman" w:eastAsia="Times New Roman" w:hAnsi="Times New Roman"/>
                <w:b/>
                <w:bCs/>
                <w:color w:val="000000"/>
                <w:sz w:val="16"/>
                <w:szCs w:val="16"/>
                <w:lang w:eastAsia="pl-PL"/>
              </w:rPr>
            </w:pPr>
            <w:r w:rsidRPr="00A6616E">
              <w:rPr>
                <w:rFonts w:ascii="Times New Roman" w:eastAsia="Times New Roman" w:hAnsi="Times New Roman"/>
                <w:b/>
                <w:bCs/>
                <w:color w:val="000000"/>
                <w:sz w:val="16"/>
                <w:szCs w:val="16"/>
                <w:lang w:eastAsia="pl-PL"/>
              </w:rPr>
              <w:t>7,81 zł</w:t>
            </w:r>
          </w:p>
        </w:tc>
        <w:tc>
          <w:tcPr>
            <w:tcW w:w="870" w:type="dxa"/>
            <w:tcBorders>
              <w:top w:val="nil"/>
              <w:left w:val="nil"/>
              <w:bottom w:val="single" w:sz="4" w:space="0" w:color="auto"/>
              <w:right w:val="single" w:sz="4" w:space="0" w:color="auto"/>
            </w:tcBorders>
            <w:shd w:val="clear" w:color="000000" w:fill="D9E1F2"/>
            <w:noWrap/>
            <w:vAlign w:val="bottom"/>
            <w:hideMark/>
          </w:tcPr>
          <w:p w14:paraId="03BBDD46"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0,87 zł</w:t>
            </w:r>
          </w:p>
        </w:tc>
        <w:tc>
          <w:tcPr>
            <w:tcW w:w="998" w:type="dxa"/>
            <w:tcBorders>
              <w:top w:val="nil"/>
              <w:left w:val="nil"/>
              <w:bottom w:val="single" w:sz="4" w:space="0" w:color="auto"/>
              <w:right w:val="single" w:sz="4" w:space="0" w:color="auto"/>
            </w:tcBorders>
            <w:shd w:val="clear" w:color="000000" w:fill="D9E1F2"/>
            <w:noWrap/>
            <w:vAlign w:val="bottom"/>
            <w:hideMark/>
          </w:tcPr>
          <w:p w14:paraId="59246E71" w14:textId="77777777" w:rsidR="00A6616E" w:rsidRPr="00A6616E" w:rsidRDefault="00A6616E" w:rsidP="00A6616E">
            <w:pPr>
              <w:spacing w:line="240" w:lineRule="auto"/>
              <w:jc w:val="right"/>
              <w:rPr>
                <w:rFonts w:ascii="Times New Roman" w:eastAsia="Times New Roman" w:hAnsi="Times New Roman"/>
                <w:b/>
                <w:bCs/>
                <w:sz w:val="16"/>
                <w:szCs w:val="16"/>
                <w:lang w:eastAsia="pl-PL"/>
              </w:rPr>
            </w:pPr>
            <w:r w:rsidRPr="00A6616E">
              <w:rPr>
                <w:rFonts w:ascii="Times New Roman" w:eastAsia="Times New Roman" w:hAnsi="Times New Roman"/>
                <w:b/>
                <w:bCs/>
                <w:sz w:val="16"/>
                <w:szCs w:val="16"/>
                <w:lang w:eastAsia="pl-PL"/>
              </w:rPr>
              <w:t>8,21 zł</w:t>
            </w:r>
          </w:p>
        </w:tc>
      </w:tr>
    </w:tbl>
    <w:p w14:paraId="78026EC4" w14:textId="77777777" w:rsidR="00BF0F4C" w:rsidRDefault="00BF0F4C" w:rsidP="002A6D1A">
      <w:pPr>
        <w:spacing w:line="240" w:lineRule="auto"/>
        <w:rPr>
          <w:rFonts w:ascii="Times New Roman" w:hAnsi="Times New Roman"/>
          <w:i/>
          <w:sz w:val="20"/>
          <w:szCs w:val="20"/>
        </w:rPr>
      </w:pPr>
    </w:p>
    <w:p w14:paraId="04B07057" w14:textId="5527EED6" w:rsidR="002020BA" w:rsidRPr="00687093" w:rsidRDefault="002020BA" w:rsidP="002A6D1A">
      <w:pPr>
        <w:spacing w:line="240" w:lineRule="auto"/>
        <w:rPr>
          <w:rFonts w:ascii="Times New Roman" w:hAnsi="Times New Roman"/>
          <w:i/>
          <w:sz w:val="20"/>
          <w:szCs w:val="20"/>
        </w:rPr>
      </w:pPr>
      <w:r w:rsidRPr="00687093">
        <w:rPr>
          <w:rFonts w:ascii="Times New Roman" w:hAnsi="Times New Roman"/>
          <w:i/>
          <w:sz w:val="20"/>
          <w:szCs w:val="20"/>
        </w:rPr>
        <w:t>Źródło: Opracowanie własne Ministerstwa Klimatu i Środowiska.</w:t>
      </w:r>
    </w:p>
    <w:p w14:paraId="7FD2765E" w14:textId="77777777" w:rsidR="002020BA" w:rsidRPr="00687093" w:rsidRDefault="002020BA" w:rsidP="002020BA">
      <w:pPr>
        <w:spacing w:line="240" w:lineRule="auto"/>
        <w:jc w:val="both"/>
        <w:rPr>
          <w:rFonts w:ascii="Times New Roman" w:hAnsi="Times New Roman"/>
          <w:i/>
          <w:sz w:val="20"/>
          <w:szCs w:val="20"/>
        </w:rPr>
      </w:pPr>
      <w:r w:rsidRPr="00687093">
        <w:rPr>
          <w:rFonts w:ascii="Times New Roman" w:hAnsi="Times New Roman"/>
          <w:i/>
          <w:sz w:val="20"/>
          <w:szCs w:val="20"/>
        </w:rPr>
        <w:t xml:space="preserve">Do obliczeń przyjęto wartości z Taryfy dla usług dystrybucji energii elektrycznej PGE Dystrybucja S.A. na rok 2020. </w:t>
      </w:r>
    </w:p>
    <w:p w14:paraId="48140044" w14:textId="77777777" w:rsidR="002020BA" w:rsidRPr="00687093" w:rsidRDefault="002020BA" w:rsidP="002020BA">
      <w:pPr>
        <w:spacing w:line="240" w:lineRule="auto"/>
        <w:jc w:val="both"/>
        <w:rPr>
          <w:rFonts w:ascii="Times New Roman" w:eastAsia="Times New Roman" w:hAnsi="Times New Roman"/>
          <w:bCs/>
          <w:kern w:val="32"/>
          <w:lang w:eastAsia="pl-PL"/>
        </w:rPr>
      </w:pPr>
    </w:p>
    <w:p w14:paraId="425AFDF4" w14:textId="1A82EA84" w:rsidR="002020BA" w:rsidRPr="00BE5FD7" w:rsidRDefault="002020BA" w:rsidP="002020BA">
      <w:pPr>
        <w:spacing w:after="80" w:line="240" w:lineRule="auto"/>
        <w:jc w:val="both"/>
        <w:rPr>
          <w:rFonts w:ascii="Times New Roman" w:hAnsi="Times New Roman"/>
        </w:rPr>
      </w:pPr>
      <w:r w:rsidRPr="00BE5FD7">
        <w:rPr>
          <w:rFonts w:ascii="Times New Roman" w:hAnsi="Times New Roman"/>
        </w:rPr>
        <w:t xml:space="preserve">Kolejnym </w:t>
      </w:r>
      <w:r w:rsidR="00241769">
        <w:rPr>
          <w:rFonts w:ascii="Times New Roman" w:hAnsi="Times New Roman"/>
        </w:rPr>
        <w:t>pozytywnym efektem</w:t>
      </w:r>
      <w:r w:rsidR="00241769" w:rsidRPr="00BE5FD7">
        <w:rPr>
          <w:rFonts w:ascii="Times New Roman" w:hAnsi="Times New Roman"/>
        </w:rPr>
        <w:t xml:space="preserve"> </w:t>
      </w:r>
      <w:r w:rsidRPr="00BE5FD7">
        <w:rPr>
          <w:rFonts w:ascii="Times New Roman" w:hAnsi="Times New Roman"/>
        </w:rPr>
        <w:t xml:space="preserve">rozwoju </w:t>
      </w:r>
      <w:r w:rsidR="00241769" w:rsidRPr="00BE5FD7">
        <w:rPr>
          <w:rFonts w:ascii="Times New Roman" w:hAnsi="Times New Roman"/>
        </w:rPr>
        <w:t>klastr</w:t>
      </w:r>
      <w:r w:rsidR="00241769">
        <w:rPr>
          <w:rFonts w:ascii="Times New Roman" w:hAnsi="Times New Roman"/>
        </w:rPr>
        <w:t>ów</w:t>
      </w:r>
      <w:r w:rsidR="00241769" w:rsidRPr="00BE5FD7">
        <w:rPr>
          <w:rFonts w:ascii="Times New Roman" w:hAnsi="Times New Roman"/>
        </w:rPr>
        <w:t xml:space="preserve"> </w:t>
      </w:r>
      <w:r>
        <w:rPr>
          <w:rFonts w:ascii="Times New Roman" w:hAnsi="Times New Roman"/>
        </w:rPr>
        <w:t xml:space="preserve">energii </w:t>
      </w:r>
      <w:r w:rsidRPr="00BE5FD7">
        <w:rPr>
          <w:rFonts w:ascii="Times New Roman" w:hAnsi="Times New Roman"/>
        </w:rPr>
        <w:t xml:space="preserve">będzie </w:t>
      </w:r>
      <w:r w:rsidR="00241769">
        <w:rPr>
          <w:rFonts w:ascii="Times New Roman" w:hAnsi="Times New Roman"/>
        </w:rPr>
        <w:t>zwiększanie</w:t>
      </w:r>
      <w:r w:rsidR="00241769" w:rsidRPr="00BE5FD7">
        <w:rPr>
          <w:rFonts w:ascii="Times New Roman" w:hAnsi="Times New Roman"/>
        </w:rPr>
        <w:t xml:space="preserve"> </w:t>
      </w:r>
      <w:r w:rsidRPr="00BE5FD7">
        <w:rPr>
          <w:rFonts w:ascii="Times New Roman" w:hAnsi="Times New Roman"/>
        </w:rPr>
        <w:t xml:space="preserve">możliwości </w:t>
      </w:r>
      <w:r w:rsidR="000D4FA3">
        <w:rPr>
          <w:rFonts w:ascii="Times New Roman" w:hAnsi="Times New Roman"/>
        </w:rPr>
        <w:t xml:space="preserve">zużycia własnego </w:t>
      </w:r>
      <w:r>
        <w:rPr>
          <w:rFonts w:ascii="Times New Roman" w:hAnsi="Times New Roman"/>
        </w:rPr>
        <w:t>klastr</w:t>
      </w:r>
      <w:r w:rsidR="00241769">
        <w:rPr>
          <w:rFonts w:ascii="Times New Roman" w:hAnsi="Times New Roman"/>
        </w:rPr>
        <w:t>ów</w:t>
      </w:r>
      <w:r w:rsidRPr="00BE5FD7">
        <w:rPr>
          <w:rFonts w:ascii="Times New Roman" w:hAnsi="Times New Roman"/>
        </w:rPr>
        <w:t>. W</w:t>
      </w:r>
      <w:r>
        <w:rPr>
          <w:rFonts w:ascii="Times New Roman" w:hAnsi="Times New Roman"/>
        </w:rPr>
        <w:t xml:space="preserve"> takim przypadku, zgodnie z założeniami projektu ustawy, pojawiają się bowiem </w:t>
      </w:r>
      <w:r w:rsidRPr="00BE5FD7">
        <w:rPr>
          <w:rFonts w:ascii="Times New Roman" w:hAnsi="Times New Roman"/>
        </w:rPr>
        <w:t>kolejne zwolnienia w opłatach w taryfie dystrybucyjnej</w:t>
      </w:r>
      <w:r>
        <w:rPr>
          <w:rFonts w:ascii="Times New Roman" w:hAnsi="Times New Roman"/>
        </w:rPr>
        <w:t>,</w:t>
      </w:r>
      <w:r w:rsidRPr="00BE5FD7">
        <w:rPr>
          <w:rFonts w:ascii="Times New Roman" w:hAnsi="Times New Roman"/>
        </w:rPr>
        <w:t xml:space="preserve"> tj. w stawce jakościowej oraz zmiennych składnikach taryfy dystrybucyjnej. </w:t>
      </w:r>
      <w:r>
        <w:rPr>
          <w:rFonts w:ascii="Times New Roman" w:hAnsi="Times New Roman"/>
        </w:rPr>
        <w:t>Również uzyskane efekty finansowe</w:t>
      </w:r>
      <w:r w:rsidRPr="00BE5FD7">
        <w:rPr>
          <w:rFonts w:ascii="Times New Roman" w:hAnsi="Times New Roman"/>
        </w:rPr>
        <w:t xml:space="preserve"> </w:t>
      </w:r>
      <w:r>
        <w:rPr>
          <w:rFonts w:ascii="Times New Roman" w:hAnsi="Times New Roman"/>
        </w:rPr>
        <w:t>będą rozdysponowane</w:t>
      </w:r>
      <w:r w:rsidRPr="00BE5FD7">
        <w:rPr>
          <w:rFonts w:ascii="Times New Roman" w:hAnsi="Times New Roman"/>
        </w:rPr>
        <w:t xml:space="preserve"> pomiędzy wytwórców energii z OZE a odbiorców energii. W zależności od osiągniętego poziomu </w:t>
      </w:r>
      <w:r w:rsidR="000D4FA3">
        <w:rPr>
          <w:rFonts w:ascii="Times New Roman" w:hAnsi="Times New Roman"/>
        </w:rPr>
        <w:t xml:space="preserve">zużycia własnego </w:t>
      </w:r>
      <w:r w:rsidRPr="00BE5FD7">
        <w:rPr>
          <w:rFonts w:ascii="Times New Roman" w:hAnsi="Times New Roman"/>
        </w:rPr>
        <w:t xml:space="preserve">w klastrze zwolnienie to będzie wynosiło od 5% do 25 % (stawki jakościowej i zmiennych składników opłaty dystrybucyjnej). </w:t>
      </w:r>
    </w:p>
    <w:p w14:paraId="37CD5DE5" w14:textId="359278AB" w:rsidR="002020BA" w:rsidRPr="00687093" w:rsidRDefault="002020BA" w:rsidP="002020BA">
      <w:pPr>
        <w:spacing w:after="80" w:line="240" w:lineRule="auto"/>
        <w:jc w:val="both"/>
        <w:rPr>
          <w:rFonts w:ascii="Times New Roman" w:hAnsi="Times New Roman"/>
        </w:rPr>
      </w:pPr>
      <w:r w:rsidRPr="00687093">
        <w:rPr>
          <w:rFonts w:ascii="Times New Roman" w:hAnsi="Times New Roman"/>
        </w:rPr>
        <w:lastRenderedPageBreak/>
        <w:t xml:space="preserve">Zaprezentowane w tabeli </w:t>
      </w:r>
      <w:r w:rsidR="000D4FA3">
        <w:rPr>
          <w:rFonts w:ascii="Times New Roman" w:hAnsi="Times New Roman"/>
        </w:rPr>
        <w:t>2</w:t>
      </w:r>
      <w:r w:rsidRPr="00687093">
        <w:rPr>
          <w:rFonts w:ascii="Times New Roman" w:hAnsi="Times New Roman"/>
        </w:rPr>
        <w:t xml:space="preserve"> dane wskazują, iż w okresie od dnia 1 </w:t>
      </w:r>
      <w:r w:rsidR="00A6616E">
        <w:rPr>
          <w:rFonts w:ascii="Times New Roman" w:hAnsi="Times New Roman"/>
        </w:rPr>
        <w:t>stycznia</w:t>
      </w:r>
      <w:r w:rsidR="00754B91">
        <w:rPr>
          <w:rFonts w:ascii="Times New Roman" w:hAnsi="Times New Roman"/>
        </w:rPr>
        <w:t xml:space="preserve"> </w:t>
      </w:r>
      <w:r w:rsidRPr="00687093">
        <w:rPr>
          <w:rFonts w:ascii="Times New Roman" w:hAnsi="Times New Roman"/>
        </w:rPr>
        <w:t>202</w:t>
      </w:r>
      <w:r w:rsidR="00A6616E">
        <w:rPr>
          <w:rFonts w:ascii="Times New Roman" w:hAnsi="Times New Roman"/>
        </w:rPr>
        <w:t>4</w:t>
      </w:r>
      <w:r w:rsidRPr="00687093">
        <w:rPr>
          <w:rFonts w:ascii="Times New Roman" w:hAnsi="Times New Roman"/>
        </w:rPr>
        <w:t xml:space="preserve"> roku do dnia 31 grudnia 2029 energii, klastry energii, które wyka</w:t>
      </w:r>
      <w:r w:rsidR="000D4FA3">
        <w:rPr>
          <w:rFonts w:ascii="Times New Roman" w:hAnsi="Times New Roman"/>
        </w:rPr>
        <w:t>załyby</w:t>
      </w:r>
      <w:r w:rsidRPr="00687093">
        <w:rPr>
          <w:rFonts w:ascii="Times New Roman" w:hAnsi="Times New Roman"/>
        </w:rPr>
        <w:t xml:space="preserve"> poziom</w:t>
      </w:r>
      <w:r w:rsidR="000D4FA3">
        <w:rPr>
          <w:rFonts w:ascii="Times New Roman" w:hAnsi="Times New Roman"/>
        </w:rPr>
        <w:t xml:space="preserve"> zużycia własnego</w:t>
      </w:r>
      <w:r w:rsidRPr="00687093">
        <w:rPr>
          <w:rFonts w:ascii="Times New Roman" w:hAnsi="Times New Roman"/>
        </w:rPr>
        <w:t xml:space="preserve"> powyżej 60% mog</w:t>
      </w:r>
      <w:r w:rsidR="000D4FA3">
        <w:rPr>
          <w:rFonts w:ascii="Times New Roman" w:hAnsi="Times New Roman"/>
        </w:rPr>
        <w:t>łyby</w:t>
      </w:r>
      <w:r w:rsidRPr="00687093">
        <w:rPr>
          <w:rFonts w:ascii="Times New Roman" w:hAnsi="Times New Roman"/>
        </w:rPr>
        <w:t xml:space="preserve"> liczyć, w zależności od wartości taryfy dystrybucyjnej, na średnie wsparcie odpowiednio na poziomie od 0,</w:t>
      </w:r>
      <w:r w:rsidR="00B50232">
        <w:rPr>
          <w:rFonts w:ascii="Times New Roman" w:hAnsi="Times New Roman"/>
        </w:rPr>
        <w:t>8</w:t>
      </w:r>
      <w:r w:rsidR="0070371E">
        <w:rPr>
          <w:rFonts w:ascii="Times New Roman" w:hAnsi="Times New Roman"/>
        </w:rPr>
        <w:t xml:space="preserve">7 </w:t>
      </w:r>
      <w:r w:rsidRPr="00687093">
        <w:rPr>
          <w:rFonts w:ascii="Times New Roman" w:hAnsi="Times New Roman"/>
        </w:rPr>
        <w:t xml:space="preserve">zł/MWh do 8,21zł/MWh. </w:t>
      </w:r>
    </w:p>
    <w:p w14:paraId="5C97F561" w14:textId="0B771ACB" w:rsidR="002020BA" w:rsidRPr="00687093" w:rsidRDefault="002020BA" w:rsidP="002020BA">
      <w:pPr>
        <w:spacing w:after="80" w:line="240" w:lineRule="auto"/>
        <w:jc w:val="both"/>
        <w:rPr>
          <w:rFonts w:ascii="Times New Roman" w:hAnsi="Times New Roman"/>
        </w:rPr>
      </w:pPr>
      <w:r w:rsidRPr="00687093">
        <w:rPr>
          <w:rFonts w:ascii="Times New Roman" w:hAnsi="Times New Roman"/>
        </w:rPr>
        <w:t xml:space="preserve">Analogiczna </w:t>
      </w:r>
      <w:r w:rsidR="000D4FA3">
        <w:rPr>
          <w:rFonts w:ascii="Times New Roman" w:hAnsi="Times New Roman"/>
        </w:rPr>
        <w:t xml:space="preserve">estymacja </w:t>
      </w:r>
      <w:r w:rsidRPr="00687093">
        <w:rPr>
          <w:rFonts w:ascii="Times New Roman" w:hAnsi="Times New Roman"/>
        </w:rPr>
        <w:t xml:space="preserve">ale przy założeniu poziomu </w:t>
      </w:r>
      <w:r w:rsidR="000D4FA3">
        <w:rPr>
          <w:rFonts w:ascii="Times New Roman" w:hAnsi="Times New Roman"/>
        </w:rPr>
        <w:t xml:space="preserve">zużycia własnego </w:t>
      </w:r>
      <w:r w:rsidRPr="00687093">
        <w:rPr>
          <w:rFonts w:ascii="Times New Roman" w:hAnsi="Times New Roman"/>
        </w:rPr>
        <w:t>wynoszącego 100% przedstawiona została w</w:t>
      </w:r>
      <w:r>
        <w:rPr>
          <w:rFonts w:ascii="Times New Roman" w:hAnsi="Times New Roman"/>
        </w:rPr>
        <w:t> </w:t>
      </w:r>
      <w:r w:rsidRPr="00687093">
        <w:rPr>
          <w:rFonts w:ascii="Times New Roman" w:hAnsi="Times New Roman"/>
        </w:rPr>
        <w:t>kolejnej tabeli poniżej.</w:t>
      </w:r>
    </w:p>
    <w:p w14:paraId="4CAD6640" w14:textId="77777777" w:rsidR="002020BA" w:rsidRPr="00687093" w:rsidRDefault="002020BA" w:rsidP="002020BA">
      <w:pPr>
        <w:spacing w:line="240" w:lineRule="auto"/>
        <w:jc w:val="both"/>
        <w:rPr>
          <w:rFonts w:ascii="Times New Roman" w:eastAsia="Times New Roman" w:hAnsi="Times New Roman"/>
          <w:bCs/>
          <w:kern w:val="32"/>
          <w:sz w:val="10"/>
          <w:szCs w:val="10"/>
          <w:lang w:eastAsia="pl-PL"/>
        </w:rPr>
      </w:pPr>
    </w:p>
    <w:p w14:paraId="33388130" w14:textId="77777777" w:rsidR="002020BA" w:rsidRPr="00687093" w:rsidRDefault="002020BA" w:rsidP="002020BA">
      <w:pPr>
        <w:spacing w:line="240" w:lineRule="auto"/>
        <w:jc w:val="both"/>
        <w:rPr>
          <w:rFonts w:ascii="Times New Roman" w:eastAsia="Times New Roman" w:hAnsi="Times New Roman"/>
          <w:bCs/>
          <w:kern w:val="32"/>
          <w:sz w:val="10"/>
          <w:szCs w:val="10"/>
          <w:lang w:eastAsia="pl-PL"/>
        </w:rPr>
      </w:pPr>
    </w:p>
    <w:p w14:paraId="17E0E5E0" w14:textId="51BFF0B8" w:rsidR="002020BA" w:rsidRDefault="002020BA" w:rsidP="002020BA">
      <w:pPr>
        <w:spacing w:line="240" w:lineRule="auto"/>
        <w:jc w:val="both"/>
        <w:rPr>
          <w:rFonts w:ascii="Times New Roman" w:hAnsi="Times New Roman"/>
        </w:rPr>
      </w:pPr>
      <w:r w:rsidRPr="00903698">
        <w:rPr>
          <w:rFonts w:ascii="Times New Roman" w:hAnsi="Times New Roman"/>
          <w:i/>
          <w:sz w:val="20"/>
          <w:szCs w:val="20"/>
        </w:rPr>
        <w:t xml:space="preserve">Tabela </w:t>
      </w:r>
      <w:r w:rsidR="009E525D">
        <w:rPr>
          <w:rFonts w:ascii="Times New Roman" w:hAnsi="Times New Roman"/>
          <w:i/>
          <w:sz w:val="20"/>
          <w:szCs w:val="20"/>
        </w:rPr>
        <w:t>3</w:t>
      </w:r>
      <w:r w:rsidRPr="00903698">
        <w:rPr>
          <w:rFonts w:ascii="Times New Roman" w:hAnsi="Times New Roman"/>
          <w:i/>
          <w:sz w:val="20"/>
          <w:szCs w:val="20"/>
        </w:rPr>
        <w:t xml:space="preserve"> Prognoza w zakresie dodatkowej wartości wsparcia dla członków klastra energii, obejmująca klastry wykazujące poziom </w:t>
      </w:r>
      <w:r w:rsidR="003C3BB3">
        <w:rPr>
          <w:rFonts w:ascii="Times New Roman" w:hAnsi="Times New Roman"/>
          <w:i/>
          <w:sz w:val="20"/>
          <w:szCs w:val="20"/>
        </w:rPr>
        <w:t xml:space="preserve">zużycia własnego </w:t>
      </w:r>
      <w:r w:rsidRPr="00903698">
        <w:rPr>
          <w:rFonts w:ascii="Times New Roman" w:hAnsi="Times New Roman"/>
          <w:i/>
          <w:sz w:val="20"/>
          <w:szCs w:val="20"/>
        </w:rPr>
        <w:t xml:space="preserve">na poziomie 100%. </w:t>
      </w:r>
    </w:p>
    <w:tbl>
      <w:tblPr>
        <w:tblW w:w="10469" w:type="dxa"/>
        <w:tblCellMar>
          <w:left w:w="70" w:type="dxa"/>
          <w:right w:w="70" w:type="dxa"/>
        </w:tblCellMar>
        <w:tblLook w:val="04A0" w:firstRow="1" w:lastRow="0" w:firstColumn="1" w:lastColumn="0" w:noHBand="0" w:noVBand="1"/>
      </w:tblPr>
      <w:tblGrid>
        <w:gridCol w:w="769"/>
        <w:gridCol w:w="1062"/>
        <w:gridCol w:w="475"/>
        <w:gridCol w:w="403"/>
        <w:gridCol w:w="792"/>
        <w:gridCol w:w="798"/>
        <w:gridCol w:w="892"/>
        <w:gridCol w:w="1001"/>
        <w:gridCol w:w="1001"/>
        <w:gridCol w:w="1275"/>
        <w:gridCol w:w="954"/>
        <w:gridCol w:w="14"/>
        <w:gridCol w:w="1033"/>
      </w:tblGrid>
      <w:tr w:rsidR="00A6616E" w:rsidRPr="00A6616E" w14:paraId="5C61E49E" w14:textId="77777777" w:rsidTr="009E7E5B">
        <w:trPr>
          <w:trHeight w:val="924"/>
        </w:trPr>
        <w:tc>
          <w:tcPr>
            <w:tcW w:w="780"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5C51F0C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Rok</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4E8F476E"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Produkcja energii elektrycznej [MWh]</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D9E1F2"/>
            <w:noWrap/>
            <w:textDirection w:val="btLr"/>
            <w:vAlign w:val="bottom"/>
            <w:hideMark/>
          </w:tcPr>
          <w:p w14:paraId="69B41CD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xml:space="preserve">Poziom </w:t>
            </w:r>
            <w:proofErr w:type="spellStart"/>
            <w:r w:rsidRPr="00A6616E">
              <w:rPr>
                <w:rFonts w:ascii="Times New Roman" w:eastAsia="Times New Roman" w:hAnsi="Times New Roman"/>
                <w:b/>
                <w:bCs/>
                <w:color w:val="000000"/>
                <w:sz w:val="14"/>
                <w:szCs w:val="14"/>
                <w:lang w:eastAsia="pl-PL"/>
              </w:rPr>
              <w:t>autokonsumpcji</w:t>
            </w:r>
            <w:proofErr w:type="spellEnd"/>
            <w:r w:rsidRPr="00A6616E">
              <w:rPr>
                <w:rFonts w:ascii="Times New Roman" w:eastAsia="Times New Roman" w:hAnsi="Times New Roman"/>
                <w:b/>
                <w:bCs/>
                <w:color w:val="000000"/>
                <w:sz w:val="14"/>
                <w:szCs w:val="14"/>
                <w:lang w:eastAsia="pl-PL"/>
              </w:rPr>
              <w:t xml:space="preserve"> 100%</w:t>
            </w:r>
          </w:p>
        </w:tc>
        <w:tc>
          <w:tcPr>
            <w:tcW w:w="407" w:type="dxa"/>
            <w:vMerge w:val="restart"/>
            <w:tcBorders>
              <w:top w:val="single" w:sz="4" w:space="0" w:color="auto"/>
              <w:left w:val="single" w:sz="4" w:space="0" w:color="auto"/>
              <w:bottom w:val="single" w:sz="4" w:space="0" w:color="auto"/>
              <w:right w:val="single" w:sz="4" w:space="0" w:color="auto"/>
            </w:tcBorders>
            <w:shd w:val="clear" w:color="000000" w:fill="D9E1F2"/>
            <w:textDirection w:val="btLr"/>
            <w:vAlign w:val="bottom"/>
            <w:hideMark/>
          </w:tcPr>
          <w:p w14:paraId="3DC2D10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Upust</w:t>
            </w:r>
          </w:p>
        </w:tc>
        <w:tc>
          <w:tcPr>
            <w:tcW w:w="2448" w:type="dxa"/>
            <w:gridSpan w:val="3"/>
            <w:tcBorders>
              <w:top w:val="single" w:sz="4" w:space="0" w:color="auto"/>
              <w:left w:val="nil"/>
              <w:bottom w:val="single" w:sz="4" w:space="0" w:color="auto"/>
              <w:right w:val="single" w:sz="4" w:space="0" w:color="auto"/>
            </w:tcBorders>
            <w:shd w:val="clear" w:color="000000" w:fill="D9E1F2"/>
            <w:vAlign w:val="bottom"/>
            <w:hideMark/>
          </w:tcPr>
          <w:p w14:paraId="75D8BA9F"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Instrumenty wsparcia członków klastra energii</w:t>
            </w:r>
          </w:p>
        </w:tc>
        <w:tc>
          <w:tcPr>
            <w:tcW w:w="3320" w:type="dxa"/>
            <w:gridSpan w:val="3"/>
            <w:tcBorders>
              <w:top w:val="single" w:sz="4" w:space="0" w:color="auto"/>
              <w:left w:val="nil"/>
              <w:bottom w:val="single" w:sz="4" w:space="0" w:color="auto"/>
              <w:right w:val="single" w:sz="4" w:space="0" w:color="auto"/>
            </w:tcBorders>
            <w:shd w:val="clear" w:color="000000" w:fill="D9E1F2"/>
            <w:vAlign w:val="bottom"/>
            <w:hideMark/>
          </w:tcPr>
          <w:p w14:paraId="167C6CDC"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xml:space="preserve">Wartość wsparcia dla członków klastrów energii - dla całego wolumenu energii elektrycznej </w:t>
            </w:r>
          </w:p>
        </w:tc>
        <w:tc>
          <w:tcPr>
            <w:tcW w:w="1958" w:type="dxa"/>
            <w:gridSpan w:val="3"/>
            <w:tcBorders>
              <w:top w:val="single" w:sz="4" w:space="0" w:color="auto"/>
              <w:left w:val="nil"/>
              <w:bottom w:val="single" w:sz="4" w:space="0" w:color="auto"/>
              <w:right w:val="single" w:sz="4" w:space="0" w:color="auto"/>
            </w:tcBorders>
            <w:shd w:val="clear" w:color="000000" w:fill="D9E1F2"/>
          </w:tcPr>
          <w:p w14:paraId="3E68FA9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Wartość dodatkowego wsparcia dla członków klastrów energii dla całego wolumenu energii elektrycznej</w:t>
            </w:r>
          </w:p>
        </w:tc>
      </w:tr>
      <w:tr w:rsidR="00A6616E" w:rsidRPr="00A6616E" w14:paraId="69F9B700" w14:textId="77777777" w:rsidTr="009E7E5B">
        <w:trPr>
          <w:trHeight w:val="780"/>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28C6DF8"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063A48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9AAA17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14:paraId="41FFFE7C"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772" w:type="dxa"/>
            <w:vMerge w:val="restart"/>
            <w:tcBorders>
              <w:top w:val="nil"/>
              <w:left w:val="single" w:sz="4" w:space="0" w:color="auto"/>
              <w:bottom w:val="single" w:sz="4" w:space="0" w:color="auto"/>
              <w:right w:val="single" w:sz="4" w:space="0" w:color="auto"/>
            </w:tcBorders>
            <w:shd w:val="clear" w:color="000000" w:fill="D9E1F2"/>
            <w:vAlign w:val="center"/>
            <w:hideMark/>
          </w:tcPr>
          <w:p w14:paraId="14D2A8C0"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Stawka jakościowa</w:t>
            </w:r>
          </w:p>
        </w:tc>
        <w:tc>
          <w:tcPr>
            <w:tcW w:w="1676" w:type="dxa"/>
            <w:gridSpan w:val="2"/>
            <w:tcBorders>
              <w:top w:val="single" w:sz="4" w:space="0" w:color="auto"/>
              <w:left w:val="nil"/>
              <w:bottom w:val="single" w:sz="4" w:space="0" w:color="auto"/>
              <w:right w:val="single" w:sz="4" w:space="0" w:color="auto"/>
            </w:tcBorders>
            <w:shd w:val="clear" w:color="000000" w:fill="D9E1F2"/>
            <w:vAlign w:val="bottom"/>
            <w:hideMark/>
          </w:tcPr>
          <w:p w14:paraId="70A08F16"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Składnik zmienny opłaty sieciowej</w:t>
            </w:r>
          </w:p>
        </w:tc>
        <w:tc>
          <w:tcPr>
            <w:tcW w:w="1014" w:type="dxa"/>
            <w:vMerge w:val="restart"/>
            <w:tcBorders>
              <w:top w:val="nil"/>
              <w:left w:val="single" w:sz="4" w:space="0" w:color="auto"/>
              <w:bottom w:val="single" w:sz="4" w:space="0" w:color="auto"/>
              <w:right w:val="single" w:sz="4" w:space="0" w:color="auto"/>
            </w:tcBorders>
            <w:shd w:val="clear" w:color="000000" w:fill="D9E1F2"/>
            <w:vAlign w:val="bottom"/>
            <w:hideMark/>
          </w:tcPr>
          <w:p w14:paraId="5A9E27D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xml:space="preserve"> Upust w stawce jakościowej</w:t>
            </w:r>
          </w:p>
        </w:tc>
        <w:tc>
          <w:tcPr>
            <w:tcW w:w="1014" w:type="dxa"/>
            <w:vMerge w:val="restart"/>
            <w:tcBorders>
              <w:top w:val="nil"/>
              <w:left w:val="single" w:sz="4" w:space="0" w:color="auto"/>
              <w:bottom w:val="single" w:sz="4" w:space="0" w:color="auto"/>
              <w:right w:val="single" w:sz="4" w:space="0" w:color="auto"/>
            </w:tcBorders>
            <w:shd w:val="clear" w:color="000000" w:fill="D9E1F2"/>
            <w:vAlign w:val="bottom"/>
            <w:hideMark/>
          </w:tcPr>
          <w:p w14:paraId="006A5B44"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Minimalny upust w składniku zmiennym opłaty sieciowej</w:t>
            </w:r>
          </w:p>
        </w:tc>
        <w:tc>
          <w:tcPr>
            <w:tcW w:w="1292" w:type="dxa"/>
            <w:vMerge w:val="restart"/>
            <w:tcBorders>
              <w:top w:val="nil"/>
              <w:left w:val="single" w:sz="4" w:space="0" w:color="auto"/>
              <w:bottom w:val="single" w:sz="4" w:space="0" w:color="auto"/>
              <w:right w:val="single" w:sz="4" w:space="0" w:color="auto"/>
            </w:tcBorders>
            <w:shd w:val="clear" w:color="000000" w:fill="D9E1F2"/>
            <w:vAlign w:val="bottom"/>
            <w:hideMark/>
          </w:tcPr>
          <w:p w14:paraId="0B3BE71E"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Maksymalny upust w składniku zmiennym opłaty sieciowej</w:t>
            </w:r>
          </w:p>
        </w:tc>
        <w:tc>
          <w:tcPr>
            <w:tcW w:w="1040" w:type="dxa"/>
            <w:vMerge w:val="restart"/>
            <w:tcBorders>
              <w:top w:val="nil"/>
              <w:left w:val="single" w:sz="4" w:space="0" w:color="auto"/>
              <w:right w:val="single" w:sz="4" w:space="0" w:color="auto"/>
            </w:tcBorders>
            <w:shd w:val="clear" w:color="000000" w:fill="D9E1F2"/>
          </w:tcPr>
          <w:p w14:paraId="141E3235"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Minimalna suma wsparcia</w:t>
            </w:r>
          </w:p>
        </w:tc>
        <w:tc>
          <w:tcPr>
            <w:tcW w:w="918" w:type="dxa"/>
            <w:gridSpan w:val="2"/>
            <w:vMerge w:val="restart"/>
            <w:tcBorders>
              <w:top w:val="nil"/>
              <w:left w:val="single" w:sz="4" w:space="0" w:color="auto"/>
              <w:right w:val="single" w:sz="4" w:space="0" w:color="auto"/>
            </w:tcBorders>
            <w:shd w:val="clear" w:color="000000" w:fill="D9E1F2"/>
          </w:tcPr>
          <w:p w14:paraId="6578E518" w14:textId="77777777" w:rsidR="00A6616E" w:rsidRPr="00A6616E" w:rsidRDefault="00A6616E" w:rsidP="00A6616E">
            <w:pPr>
              <w:spacing w:line="240" w:lineRule="auto"/>
              <w:jc w:val="center"/>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Maksymalna suma wsparcia</w:t>
            </w:r>
          </w:p>
        </w:tc>
      </w:tr>
      <w:tr w:rsidR="00A6616E" w:rsidRPr="00A6616E" w14:paraId="22A2E87C" w14:textId="77777777" w:rsidTr="009E7E5B">
        <w:trPr>
          <w:trHeight w:val="45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BEE651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3A951B6"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41B0A6F5"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14:paraId="3101D7F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772" w:type="dxa"/>
            <w:vMerge/>
            <w:tcBorders>
              <w:top w:val="nil"/>
              <w:left w:val="single" w:sz="4" w:space="0" w:color="auto"/>
              <w:bottom w:val="single" w:sz="4" w:space="0" w:color="auto"/>
              <w:right w:val="single" w:sz="4" w:space="0" w:color="auto"/>
            </w:tcBorders>
            <w:vAlign w:val="center"/>
            <w:hideMark/>
          </w:tcPr>
          <w:p w14:paraId="2EC6620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808" w:type="dxa"/>
            <w:tcBorders>
              <w:top w:val="nil"/>
              <w:left w:val="nil"/>
              <w:bottom w:val="single" w:sz="4" w:space="0" w:color="auto"/>
              <w:right w:val="single" w:sz="4" w:space="0" w:color="auto"/>
            </w:tcBorders>
            <w:shd w:val="clear" w:color="000000" w:fill="D9E1F2"/>
            <w:vAlign w:val="bottom"/>
            <w:hideMark/>
          </w:tcPr>
          <w:p w14:paraId="0BABEE88"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Poziom minimalny</w:t>
            </w:r>
          </w:p>
        </w:tc>
        <w:tc>
          <w:tcPr>
            <w:tcW w:w="868" w:type="dxa"/>
            <w:tcBorders>
              <w:top w:val="nil"/>
              <w:left w:val="nil"/>
              <w:bottom w:val="single" w:sz="4" w:space="0" w:color="auto"/>
              <w:right w:val="single" w:sz="4" w:space="0" w:color="auto"/>
            </w:tcBorders>
            <w:shd w:val="clear" w:color="000000" w:fill="D9E1F2"/>
            <w:vAlign w:val="bottom"/>
            <w:hideMark/>
          </w:tcPr>
          <w:p w14:paraId="5DEA832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Poziom maksymalny</w:t>
            </w:r>
          </w:p>
        </w:tc>
        <w:tc>
          <w:tcPr>
            <w:tcW w:w="1014" w:type="dxa"/>
            <w:vMerge/>
            <w:tcBorders>
              <w:top w:val="nil"/>
              <w:left w:val="single" w:sz="4" w:space="0" w:color="auto"/>
              <w:bottom w:val="single" w:sz="4" w:space="0" w:color="auto"/>
              <w:right w:val="single" w:sz="4" w:space="0" w:color="auto"/>
            </w:tcBorders>
            <w:vAlign w:val="center"/>
            <w:hideMark/>
          </w:tcPr>
          <w:p w14:paraId="08B6BF1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14" w:type="dxa"/>
            <w:vMerge/>
            <w:tcBorders>
              <w:top w:val="nil"/>
              <w:left w:val="single" w:sz="4" w:space="0" w:color="auto"/>
              <w:bottom w:val="single" w:sz="4" w:space="0" w:color="auto"/>
              <w:right w:val="single" w:sz="4" w:space="0" w:color="auto"/>
            </w:tcBorders>
            <w:vAlign w:val="center"/>
            <w:hideMark/>
          </w:tcPr>
          <w:p w14:paraId="65CDD79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292" w:type="dxa"/>
            <w:vMerge/>
            <w:tcBorders>
              <w:top w:val="nil"/>
              <w:left w:val="single" w:sz="4" w:space="0" w:color="auto"/>
              <w:bottom w:val="single" w:sz="4" w:space="0" w:color="auto"/>
              <w:right w:val="single" w:sz="4" w:space="0" w:color="auto"/>
            </w:tcBorders>
            <w:vAlign w:val="center"/>
            <w:hideMark/>
          </w:tcPr>
          <w:p w14:paraId="24D43D22"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1040" w:type="dxa"/>
            <w:vMerge/>
            <w:tcBorders>
              <w:left w:val="single" w:sz="4" w:space="0" w:color="auto"/>
              <w:bottom w:val="single" w:sz="4" w:space="0" w:color="auto"/>
              <w:right w:val="single" w:sz="4" w:space="0" w:color="auto"/>
            </w:tcBorders>
          </w:tcPr>
          <w:p w14:paraId="7D39F832"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c>
          <w:tcPr>
            <w:tcW w:w="918" w:type="dxa"/>
            <w:gridSpan w:val="2"/>
            <w:vMerge/>
            <w:tcBorders>
              <w:left w:val="single" w:sz="4" w:space="0" w:color="auto"/>
              <w:bottom w:val="single" w:sz="4" w:space="0" w:color="auto"/>
              <w:right w:val="single" w:sz="4" w:space="0" w:color="auto"/>
            </w:tcBorders>
          </w:tcPr>
          <w:p w14:paraId="33F394DE"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p>
        </w:tc>
      </w:tr>
      <w:tr w:rsidR="00A6616E" w:rsidRPr="00A6616E" w14:paraId="59560F63" w14:textId="77777777" w:rsidTr="009E7E5B">
        <w:trPr>
          <w:trHeight w:val="557"/>
        </w:trPr>
        <w:tc>
          <w:tcPr>
            <w:tcW w:w="780" w:type="dxa"/>
            <w:tcBorders>
              <w:top w:val="nil"/>
              <w:left w:val="single" w:sz="4" w:space="0" w:color="auto"/>
              <w:bottom w:val="single" w:sz="4" w:space="0" w:color="000000"/>
              <w:right w:val="single" w:sz="4" w:space="0" w:color="auto"/>
            </w:tcBorders>
            <w:shd w:val="clear" w:color="000000" w:fill="D9E1F2"/>
            <w:noWrap/>
            <w:vAlign w:val="bottom"/>
            <w:hideMark/>
          </w:tcPr>
          <w:p w14:paraId="5EBD9CBC"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w:t>
            </w:r>
          </w:p>
        </w:tc>
        <w:tc>
          <w:tcPr>
            <w:tcW w:w="1076" w:type="dxa"/>
            <w:tcBorders>
              <w:top w:val="nil"/>
              <w:left w:val="single" w:sz="4" w:space="0" w:color="auto"/>
              <w:bottom w:val="single" w:sz="4" w:space="0" w:color="000000"/>
              <w:right w:val="single" w:sz="4" w:space="0" w:color="auto"/>
            </w:tcBorders>
            <w:shd w:val="clear" w:color="000000" w:fill="D9E1F2"/>
            <w:noWrap/>
            <w:vAlign w:val="bottom"/>
            <w:hideMark/>
          </w:tcPr>
          <w:p w14:paraId="2B32C146"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2</w:t>
            </w:r>
          </w:p>
        </w:tc>
        <w:tc>
          <w:tcPr>
            <w:tcW w:w="480" w:type="dxa"/>
            <w:tcBorders>
              <w:top w:val="nil"/>
              <w:left w:val="single" w:sz="4" w:space="0" w:color="auto"/>
              <w:bottom w:val="single" w:sz="4" w:space="0" w:color="000000"/>
              <w:right w:val="single" w:sz="4" w:space="0" w:color="auto"/>
            </w:tcBorders>
            <w:shd w:val="clear" w:color="000000" w:fill="D9E1F2"/>
            <w:noWrap/>
            <w:vAlign w:val="bottom"/>
            <w:hideMark/>
          </w:tcPr>
          <w:p w14:paraId="552D6043"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3</w:t>
            </w:r>
          </w:p>
        </w:tc>
        <w:tc>
          <w:tcPr>
            <w:tcW w:w="407" w:type="dxa"/>
            <w:tcBorders>
              <w:top w:val="nil"/>
              <w:left w:val="single" w:sz="4" w:space="0" w:color="auto"/>
              <w:bottom w:val="single" w:sz="4" w:space="0" w:color="000000"/>
              <w:right w:val="single" w:sz="4" w:space="0" w:color="auto"/>
            </w:tcBorders>
            <w:shd w:val="clear" w:color="000000" w:fill="D9E1F2"/>
            <w:noWrap/>
            <w:vAlign w:val="bottom"/>
            <w:hideMark/>
          </w:tcPr>
          <w:p w14:paraId="48D2CF45"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4</w:t>
            </w:r>
          </w:p>
        </w:tc>
        <w:tc>
          <w:tcPr>
            <w:tcW w:w="772" w:type="dxa"/>
            <w:tcBorders>
              <w:top w:val="nil"/>
              <w:left w:val="single" w:sz="4" w:space="0" w:color="auto"/>
              <w:bottom w:val="single" w:sz="4" w:space="0" w:color="000000"/>
              <w:right w:val="single" w:sz="4" w:space="0" w:color="auto"/>
            </w:tcBorders>
            <w:shd w:val="clear" w:color="000000" w:fill="D9E1F2"/>
            <w:noWrap/>
            <w:vAlign w:val="bottom"/>
            <w:hideMark/>
          </w:tcPr>
          <w:p w14:paraId="5A66573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5</w:t>
            </w:r>
          </w:p>
        </w:tc>
        <w:tc>
          <w:tcPr>
            <w:tcW w:w="808" w:type="dxa"/>
            <w:tcBorders>
              <w:top w:val="nil"/>
              <w:left w:val="single" w:sz="4" w:space="0" w:color="auto"/>
              <w:bottom w:val="single" w:sz="4" w:space="0" w:color="000000"/>
              <w:right w:val="single" w:sz="4" w:space="0" w:color="auto"/>
            </w:tcBorders>
            <w:shd w:val="clear" w:color="000000" w:fill="D9E1F2"/>
            <w:noWrap/>
            <w:vAlign w:val="bottom"/>
            <w:hideMark/>
          </w:tcPr>
          <w:p w14:paraId="232DC2D0"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6</w:t>
            </w:r>
          </w:p>
        </w:tc>
        <w:tc>
          <w:tcPr>
            <w:tcW w:w="868" w:type="dxa"/>
            <w:tcBorders>
              <w:top w:val="nil"/>
              <w:left w:val="single" w:sz="4" w:space="0" w:color="auto"/>
              <w:bottom w:val="single" w:sz="4" w:space="0" w:color="000000"/>
              <w:right w:val="single" w:sz="4" w:space="0" w:color="auto"/>
            </w:tcBorders>
            <w:shd w:val="clear" w:color="000000" w:fill="D9E1F2"/>
            <w:noWrap/>
            <w:vAlign w:val="bottom"/>
            <w:hideMark/>
          </w:tcPr>
          <w:p w14:paraId="2D975E82"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7</w:t>
            </w:r>
          </w:p>
        </w:tc>
        <w:tc>
          <w:tcPr>
            <w:tcW w:w="1014" w:type="dxa"/>
            <w:tcBorders>
              <w:top w:val="nil"/>
              <w:left w:val="single" w:sz="4" w:space="0" w:color="auto"/>
              <w:bottom w:val="single" w:sz="4" w:space="0" w:color="000000"/>
              <w:right w:val="single" w:sz="4" w:space="0" w:color="auto"/>
            </w:tcBorders>
            <w:shd w:val="clear" w:color="000000" w:fill="D9E1F2"/>
            <w:noWrap/>
            <w:vAlign w:val="bottom"/>
            <w:hideMark/>
          </w:tcPr>
          <w:p w14:paraId="23117CD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 (2x3x4x5)</w:t>
            </w:r>
          </w:p>
        </w:tc>
        <w:tc>
          <w:tcPr>
            <w:tcW w:w="1014" w:type="dxa"/>
            <w:tcBorders>
              <w:top w:val="nil"/>
              <w:left w:val="single" w:sz="4" w:space="0" w:color="auto"/>
              <w:bottom w:val="single" w:sz="4" w:space="0" w:color="000000"/>
              <w:right w:val="single" w:sz="4" w:space="0" w:color="auto"/>
            </w:tcBorders>
            <w:shd w:val="clear" w:color="000000" w:fill="D9E1F2"/>
            <w:noWrap/>
            <w:vAlign w:val="bottom"/>
            <w:hideMark/>
          </w:tcPr>
          <w:p w14:paraId="70F009BE"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9 (2x3x4x6)</w:t>
            </w:r>
          </w:p>
        </w:tc>
        <w:tc>
          <w:tcPr>
            <w:tcW w:w="1292" w:type="dxa"/>
            <w:tcBorders>
              <w:top w:val="nil"/>
              <w:left w:val="single" w:sz="4" w:space="0" w:color="auto"/>
              <w:bottom w:val="single" w:sz="4" w:space="0" w:color="000000"/>
              <w:right w:val="single" w:sz="4" w:space="0" w:color="auto"/>
            </w:tcBorders>
            <w:shd w:val="clear" w:color="000000" w:fill="D9E1F2"/>
            <w:noWrap/>
            <w:vAlign w:val="bottom"/>
            <w:hideMark/>
          </w:tcPr>
          <w:p w14:paraId="43B2A799"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10 (2x3x4x7)</w:t>
            </w:r>
          </w:p>
        </w:tc>
        <w:tc>
          <w:tcPr>
            <w:tcW w:w="1040" w:type="dxa"/>
            <w:tcBorders>
              <w:top w:val="nil"/>
              <w:left w:val="single" w:sz="4" w:space="0" w:color="auto"/>
              <w:bottom w:val="single" w:sz="4" w:space="0" w:color="auto"/>
              <w:right w:val="single" w:sz="4" w:space="0" w:color="auto"/>
            </w:tcBorders>
            <w:shd w:val="clear" w:color="000000" w:fill="D9E1F2"/>
            <w:vAlign w:val="bottom"/>
          </w:tcPr>
          <w:p w14:paraId="37D46FE0"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8+9</w:t>
            </w:r>
          </w:p>
        </w:tc>
        <w:tc>
          <w:tcPr>
            <w:tcW w:w="918" w:type="dxa"/>
            <w:gridSpan w:val="2"/>
            <w:tcBorders>
              <w:top w:val="nil"/>
              <w:left w:val="single" w:sz="4" w:space="0" w:color="auto"/>
              <w:bottom w:val="single" w:sz="4" w:space="0" w:color="auto"/>
              <w:right w:val="single" w:sz="4" w:space="0" w:color="auto"/>
            </w:tcBorders>
            <w:shd w:val="clear" w:color="000000" w:fill="D9E1F2"/>
            <w:vAlign w:val="bottom"/>
          </w:tcPr>
          <w:p w14:paraId="6BD4AF4D" w14:textId="77777777" w:rsidR="00A6616E" w:rsidRPr="00A6616E" w:rsidRDefault="00A6616E" w:rsidP="00A6616E">
            <w:pPr>
              <w:spacing w:line="240" w:lineRule="auto"/>
              <w:jc w:val="center"/>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8+10</w:t>
            </w:r>
          </w:p>
        </w:tc>
      </w:tr>
      <w:tr w:rsidR="00A6616E" w:rsidRPr="00A6616E" w14:paraId="1F84C213"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9930E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2024</w:t>
            </w:r>
          </w:p>
        </w:tc>
        <w:tc>
          <w:tcPr>
            <w:tcW w:w="1076" w:type="dxa"/>
            <w:tcBorders>
              <w:top w:val="nil"/>
              <w:left w:val="nil"/>
              <w:bottom w:val="single" w:sz="4" w:space="0" w:color="auto"/>
              <w:right w:val="single" w:sz="4" w:space="0" w:color="auto"/>
            </w:tcBorders>
            <w:shd w:val="clear" w:color="auto" w:fill="auto"/>
            <w:noWrap/>
            <w:vAlign w:val="bottom"/>
            <w:hideMark/>
          </w:tcPr>
          <w:p w14:paraId="70F572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465000</w:t>
            </w:r>
          </w:p>
        </w:tc>
        <w:tc>
          <w:tcPr>
            <w:tcW w:w="480" w:type="dxa"/>
            <w:tcBorders>
              <w:top w:val="nil"/>
              <w:left w:val="nil"/>
              <w:bottom w:val="single" w:sz="4" w:space="0" w:color="auto"/>
              <w:right w:val="single" w:sz="4" w:space="0" w:color="auto"/>
            </w:tcBorders>
            <w:shd w:val="clear" w:color="auto" w:fill="auto"/>
            <w:noWrap/>
            <w:vAlign w:val="bottom"/>
            <w:hideMark/>
          </w:tcPr>
          <w:p w14:paraId="132ABA1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6930BFD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0E3BA41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114020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179E3B9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C616F38"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1 549 612,50 zł</w:t>
            </w:r>
          </w:p>
        </w:tc>
        <w:tc>
          <w:tcPr>
            <w:tcW w:w="1014" w:type="dxa"/>
            <w:tcBorders>
              <w:top w:val="nil"/>
              <w:left w:val="nil"/>
              <w:bottom w:val="single" w:sz="4" w:space="0" w:color="auto"/>
              <w:right w:val="single" w:sz="4" w:space="0" w:color="auto"/>
            </w:tcBorders>
            <w:shd w:val="clear" w:color="auto" w:fill="auto"/>
            <w:noWrap/>
            <w:vAlign w:val="bottom"/>
            <w:hideMark/>
          </w:tcPr>
          <w:p w14:paraId="30F47CE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1 812 337,50 zł</w:t>
            </w:r>
          </w:p>
        </w:tc>
        <w:tc>
          <w:tcPr>
            <w:tcW w:w="1292" w:type="dxa"/>
            <w:tcBorders>
              <w:top w:val="nil"/>
              <w:left w:val="nil"/>
              <w:bottom w:val="single" w:sz="4" w:space="0" w:color="auto"/>
              <w:right w:val="single" w:sz="4" w:space="0" w:color="auto"/>
            </w:tcBorders>
            <w:shd w:val="clear" w:color="auto" w:fill="auto"/>
            <w:noWrap/>
            <w:vAlign w:val="bottom"/>
            <w:hideMark/>
          </w:tcPr>
          <w:p w14:paraId="2E678CC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30 259 875,00 zł</w:t>
            </w:r>
          </w:p>
        </w:tc>
        <w:tc>
          <w:tcPr>
            <w:tcW w:w="1180" w:type="dxa"/>
            <w:gridSpan w:val="2"/>
            <w:tcBorders>
              <w:top w:val="single" w:sz="4" w:space="0" w:color="auto"/>
              <w:left w:val="nil"/>
              <w:bottom w:val="single" w:sz="4" w:space="0" w:color="auto"/>
              <w:right w:val="single" w:sz="4" w:space="0" w:color="auto"/>
            </w:tcBorders>
            <w:vAlign w:val="bottom"/>
          </w:tcPr>
          <w:p w14:paraId="5591256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3 361 950,00 zł</w:t>
            </w:r>
          </w:p>
        </w:tc>
        <w:tc>
          <w:tcPr>
            <w:tcW w:w="778" w:type="dxa"/>
            <w:tcBorders>
              <w:top w:val="single" w:sz="4" w:space="0" w:color="auto"/>
              <w:left w:val="nil"/>
              <w:bottom w:val="single" w:sz="4" w:space="0" w:color="auto"/>
              <w:right w:val="single" w:sz="4" w:space="0" w:color="auto"/>
            </w:tcBorders>
            <w:vAlign w:val="bottom"/>
          </w:tcPr>
          <w:p w14:paraId="3C54E292"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31 809 487,50 zł</w:t>
            </w:r>
          </w:p>
        </w:tc>
      </w:tr>
      <w:tr w:rsidR="00A6616E" w:rsidRPr="00A6616E" w14:paraId="33044E01"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160DD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2025</w:t>
            </w:r>
          </w:p>
        </w:tc>
        <w:tc>
          <w:tcPr>
            <w:tcW w:w="1076" w:type="dxa"/>
            <w:tcBorders>
              <w:top w:val="nil"/>
              <w:left w:val="nil"/>
              <w:bottom w:val="single" w:sz="4" w:space="0" w:color="auto"/>
              <w:right w:val="single" w:sz="4" w:space="0" w:color="auto"/>
            </w:tcBorders>
            <w:shd w:val="clear" w:color="auto" w:fill="auto"/>
            <w:noWrap/>
            <w:vAlign w:val="bottom"/>
            <w:hideMark/>
          </w:tcPr>
          <w:p w14:paraId="401EFBFA"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540000</w:t>
            </w:r>
          </w:p>
        </w:tc>
        <w:tc>
          <w:tcPr>
            <w:tcW w:w="480" w:type="dxa"/>
            <w:tcBorders>
              <w:top w:val="nil"/>
              <w:left w:val="nil"/>
              <w:bottom w:val="single" w:sz="4" w:space="0" w:color="auto"/>
              <w:right w:val="single" w:sz="4" w:space="0" w:color="auto"/>
            </w:tcBorders>
            <w:shd w:val="clear" w:color="auto" w:fill="auto"/>
            <w:noWrap/>
            <w:vAlign w:val="bottom"/>
            <w:hideMark/>
          </w:tcPr>
          <w:p w14:paraId="7FB5891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725977C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6D54ABC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644F3B86"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4EAB671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09F7870"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1 799 550,00 zł</w:t>
            </w:r>
          </w:p>
        </w:tc>
        <w:tc>
          <w:tcPr>
            <w:tcW w:w="1014" w:type="dxa"/>
            <w:tcBorders>
              <w:top w:val="nil"/>
              <w:left w:val="nil"/>
              <w:bottom w:val="single" w:sz="4" w:space="0" w:color="auto"/>
              <w:right w:val="single" w:sz="4" w:space="0" w:color="auto"/>
            </w:tcBorders>
            <w:shd w:val="clear" w:color="auto" w:fill="auto"/>
            <w:noWrap/>
            <w:vAlign w:val="bottom"/>
            <w:hideMark/>
          </w:tcPr>
          <w:p w14:paraId="20DC1D4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2 104 650,00 zł</w:t>
            </w:r>
          </w:p>
        </w:tc>
        <w:tc>
          <w:tcPr>
            <w:tcW w:w="1292" w:type="dxa"/>
            <w:tcBorders>
              <w:top w:val="nil"/>
              <w:left w:val="nil"/>
              <w:bottom w:val="single" w:sz="4" w:space="0" w:color="auto"/>
              <w:right w:val="single" w:sz="4" w:space="0" w:color="auto"/>
            </w:tcBorders>
            <w:shd w:val="clear" w:color="auto" w:fill="auto"/>
            <w:noWrap/>
            <w:vAlign w:val="bottom"/>
            <w:hideMark/>
          </w:tcPr>
          <w:p w14:paraId="375D112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35 140 500,00 zł</w:t>
            </w:r>
          </w:p>
        </w:tc>
        <w:tc>
          <w:tcPr>
            <w:tcW w:w="1180" w:type="dxa"/>
            <w:gridSpan w:val="2"/>
            <w:tcBorders>
              <w:top w:val="single" w:sz="4" w:space="0" w:color="auto"/>
              <w:left w:val="nil"/>
              <w:bottom w:val="single" w:sz="4" w:space="0" w:color="auto"/>
              <w:right w:val="single" w:sz="4" w:space="0" w:color="auto"/>
            </w:tcBorders>
            <w:vAlign w:val="bottom"/>
          </w:tcPr>
          <w:p w14:paraId="0867DA8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3 904 200,00 zł</w:t>
            </w:r>
          </w:p>
        </w:tc>
        <w:tc>
          <w:tcPr>
            <w:tcW w:w="778" w:type="dxa"/>
            <w:tcBorders>
              <w:top w:val="single" w:sz="4" w:space="0" w:color="auto"/>
              <w:left w:val="nil"/>
              <w:bottom w:val="single" w:sz="4" w:space="0" w:color="auto"/>
              <w:right w:val="single" w:sz="4" w:space="0" w:color="auto"/>
            </w:tcBorders>
            <w:vAlign w:val="bottom"/>
          </w:tcPr>
          <w:p w14:paraId="1336A92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36 940 050,00 zł</w:t>
            </w:r>
          </w:p>
        </w:tc>
      </w:tr>
      <w:tr w:rsidR="00A6616E" w:rsidRPr="00A6616E" w14:paraId="6E9ABA7D"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315A7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2026</w:t>
            </w:r>
          </w:p>
        </w:tc>
        <w:tc>
          <w:tcPr>
            <w:tcW w:w="1076" w:type="dxa"/>
            <w:tcBorders>
              <w:top w:val="nil"/>
              <w:left w:val="nil"/>
              <w:bottom w:val="single" w:sz="4" w:space="0" w:color="auto"/>
              <w:right w:val="single" w:sz="4" w:space="0" w:color="auto"/>
            </w:tcBorders>
            <w:shd w:val="clear" w:color="auto" w:fill="auto"/>
            <w:noWrap/>
            <w:vAlign w:val="bottom"/>
            <w:hideMark/>
          </w:tcPr>
          <w:p w14:paraId="4B68B3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615000</w:t>
            </w:r>
          </w:p>
        </w:tc>
        <w:tc>
          <w:tcPr>
            <w:tcW w:w="480" w:type="dxa"/>
            <w:tcBorders>
              <w:top w:val="nil"/>
              <w:left w:val="nil"/>
              <w:bottom w:val="single" w:sz="4" w:space="0" w:color="auto"/>
              <w:right w:val="single" w:sz="4" w:space="0" w:color="auto"/>
            </w:tcBorders>
            <w:shd w:val="clear" w:color="auto" w:fill="auto"/>
            <w:noWrap/>
            <w:vAlign w:val="bottom"/>
            <w:hideMark/>
          </w:tcPr>
          <w:p w14:paraId="0AAF337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7E56662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539A8F2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6B73D8C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56517C2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0F13CC71"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2 049 487,50 zł</w:t>
            </w:r>
          </w:p>
        </w:tc>
        <w:tc>
          <w:tcPr>
            <w:tcW w:w="1014" w:type="dxa"/>
            <w:tcBorders>
              <w:top w:val="nil"/>
              <w:left w:val="nil"/>
              <w:bottom w:val="single" w:sz="4" w:space="0" w:color="auto"/>
              <w:right w:val="single" w:sz="4" w:space="0" w:color="auto"/>
            </w:tcBorders>
            <w:shd w:val="clear" w:color="auto" w:fill="auto"/>
            <w:noWrap/>
            <w:vAlign w:val="bottom"/>
            <w:hideMark/>
          </w:tcPr>
          <w:p w14:paraId="0596C55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2 396 962,50 zł</w:t>
            </w:r>
          </w:p>
        </w:tc>
        <w:tc>
          <w:tcPr>
            <w:tcW w:w="1292" w:type="dxa"/>
            <w:tcBorders>
              <w:top w:val="nil"/>
              <w:left w:val="nil"/>
              <w:bottom w:val="single" w:sz="4" w:space="0" w:color="auto"/>
              <w:right w:val="single" w:sz="4" w:space="0" w:color="auto"/>
            </w:tcBorders>
            <w:shd w:val="clear" w:color="auto" w:fill="auto"/>
            <w:noWrap/>
            <w:vAlign w:val="bottom"/>
            <w:hideMark/>
          </w:tcPr>
          <w:p w14:paraId="041DA6F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40 021 125,00 zł</w:t>
            </w:r>
          </w:p>
        </w:tc>
        <w:tc>
          <w:tcPr>
            <w:tcW w:w="1180" w:type="dxa"/>
            <w:gridSpan w:val="2"/>
            <w:tcBorders>
              <w:top w:val="single" w:sz="4" w:space="0" w:color="auto"/>
              <w:left w:val="nil"/>
              <w:bottom w:val="single" w:sz="4" w:space="0" w:color="auto"/>
              <w:right w:val="single" w:sz="4" w:space="0" w:color="auto"/>
            </w:tcBorders>
            <w:vAlign w:val="bottom"/>
          </w:tcPr>
          <w:p w14:paraId="009A73ED"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4 446 450,00 zł</w:t>
            </w:r>
          </w:p>
        </w:tc>
        <w:tc>
          <w:tcPr>
            <w:tcW w:w="778" w:type="dxa"/>
            <w:tcBorders>
              <w:top w:val="single" w:sz="4" w:space="0" w:color="auto"/>
              <w:left w:val="nil"/>
              <w:bottom w:val="single" w:sz="4" w:space="0" w:color="auto"/>
              <w:right w:val="single" w:sz="4" w:space="0" w:color="auto"/>
            </w:tcBorders>
            <w:vAlign w:val="bottom"/>
          </w:tcPr>
          <w:p w14:paraId="405DEEB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42 070 612,50 zł</w:t>
            </w:r>
          </w:p>
        </w:tc>
      </w:tr>
      <w:tr w:rsidR="00A6616E" w:rsidRPr="00A6616E" w14:paraId="23CCCED2"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F14FE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2027</w:t>
            </w:r>
          </w:p>
        </w:tc>
        <w:tc>
          <w:tcPr>
            <w:tcW w:w="1076" w:type="dxa"/>
            <w:tcBorders>
              <w:top w:val="nil"/>
              <w:left w:val="nil"/>
              <w:bottom w:val="single" w:sz="4" w:space="0" w:color="auto"/>
              <w:right w:val="single" w:sz="4" w:space="0" w:color="auto"/>
            </w:tcBorders>
            <w:shd w:val="clear" w:color="auto" w:fill="auto"/>
            <w:noWrap/>
            <w:vAlign w:val="bottom"/>
            <w:hideMark/>
          </w:tcPr>
          <w:p w14:paraId="04946DDA"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690000</w:t>
            </w:r>
          </w:p>
        </w:tc>
        <w:tc>
          <w:tcPr>
            <w:tcW w:w="480" w:type="dxa"/>
            <w:tcBorders>
              <w:top w:val="nil"/>
              <w:left w:val="nil"/>
              <w:bottom w:val="single" w:sz="4" w:space="0" w:color="auto"/>
              <w:right w:val="single" w:sz="4" w:space="0" w:color="auto"/>
            </w:tcBorders>
            <w:shd w:val="clear" w:color="auto" w:fill="auto"/>
            <w:noWrap/>
            <w:vAlign w:val="bottom"/>
            <w:hideMark/>
          </w:tcPr>
          <w:p w14:paraId="4D46F87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36B7F1B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49C18BB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119E431"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7953F72D"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253E6F36"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2 299 425,00 zł</w:t>
            </w:r>
          </w:p>
        </w:tc>
        <w:tc>
          <w:tcPr>
            <w:tcW w:w="1014" w:type="dxa"/>
            <w:tcBorders>
              <w:top w:val="nil"/>
              <w:left w:val="nil"/>
              <w:bottom w:val="single" w:sz="4" w:space="0" w:color="auto"/>
              <w:right w:val="single" w:sz="4" w:space="0" w:color="auto"/>
            </w:tcBorders>
            <w:shd w:val="clear" w:color="auto" w:fill="auto"/>
            <w:noWrap/>
            <w:vAlign w:val="bottom"/>
            <w:hideMark/>
          </w:tcPr>
          <w:p w14:paraId="673D39D0"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2 689 275,00 zł</w:t>
            </w:r>
          </w:p>
        </w:tc>
        <w:tc>
          <w:tcPr>
            <w:tcW w:w="1292" w:type="dxa"/>
            <w:tcBorders>
              <w:top w:val="nil"/>
              <w:left w:val="nil"/>
              <w:bottom w:val="single" w:sz="4" w:space="0" w:color="auto"/>
              <w:right w:val="single" w:sz="4" w:space="0" w:color="auto"/>
            </w:tcBorders>
            <w:shd w:val="clear" w:color="auto" w:fill="auto"/>
            <w:noWrap/>
            <w:vAlign w:val="bottom"/>
            <w:hideMark/>
          </w:tcPr>
          <w:p w14:paraId="32DFE08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44 901 750,00 zł</w:t>
            </w:r>
          </w:p>
        </w:tc>
        <w:tc>
          <w:tcPr>
            <w:tcW w:w="1180" w:type="dxa"/>
            <w:gridSpan w:val="2"/>
            <w:tcBorders>
              <w:top w:val="single" w:sz="4" w:space="0" w:color="auto"/>
              <w:left w:val="nil"/>
              <w:bottom w:val="single" w:sz="4" w:space="0" w:color="auto"/>
              <w:right w:val="single" w:sz="4" w:space="0" w:color="auto"/>
            </w:tcBorders>
            <w:vAlign w:val="bottom"/>
          </w:tcPr>
          <w:p w14:paraId="51B5F14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4 988 700,00 zł</w:t>
            </w:r>
          </w:p>
        </w:tc>
        <w:tc>
          <w:tcPr>
            <w:tcW w:w="778" w:type="dxa"/>
            <w:tcBorders>
              <w:top w:val="single" w:sz="4" w:space="0" w:color="auto"/>
              <w:left w:val="nil"/>
              <w:bottom w:val="single" w:sz="4" w:space="0" w:color="auto"/>
              <w:right w:val="single" w:sz="4" w:space="0" w:color="auto"/>
            </w:tcBorders>
            <w:vAlign w:val="bottom"/>
          </w:tcPr>
          <w:p w14:paraId="4BF57D1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47 201 175,00 zł</w:t>
            </w:r>
          </w:p>
        </w:tc>
      </w:tr>
      <w:tr w:rsidR="00A6616E" w:rsidRPr="00A6616E" w14:paraId="69438930"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27249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2028</w:t>
            </w:r>
          </w:p>
        </w:tc>
        <w:tc>
          <w:tcPr>
            <w:tcW w:w="1076" w:type="dxa"/>
            <w:tcBorders>
              <w:top w:val="nil"/>
              <w:left w:val="nil"/>
              <w:bottom w:val="single" w:sz="4" w:space="0" w:color="auto"/>
              <w:right w:val="single" w:sz="4" w:space="0" w:color="auto"/>
            </w:tcBorders>
            <w:shd w:val="clear" w:color="auto" w:fill="auto"/>
            <w:noWrap/>
            <w:vAlign w:val="bottom"/>
            <w:hideMark/>
          </w:tcPr>
          <w:p w14:paraId="0FB431B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765000</w:t>
            </w:r>
          </w:p>
        </w:tc>
        <w:tc>
          <w:tcPr>
            <w:tcW w:w="480" w:type="dxa"/>
            <w:tcBorders>
              <w:top w:val="nil"/>
              <w:left w:val="nil"/>
              <w:bottom w:val="single" w:sz="4" w:space="0" w:color="auto"/>
              <w:right w:val="single" w:sz="4" w:space="0" w:color="auto"/>
            </w:tcBorders>
            <w:shd w:val="clear" w:color="auto" w:fill="auto"/>
            <w:noWrap/>
            <w:vAlign w:val="bottom"/>
            <w:hideMark/>
          </w:tcPr>
          <w:p w14:paraId="0EE4FAE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017B29B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6CFC469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252D0B64"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4C1AB5F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37C4DA18"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2 549 362,50 zł</w:t>
            </w:r>
          </w:p>
        </w:tc>
        <w:tc>
          <w:tcPr>
            <w:tcW w:w="1014" w:type="dxa"/>
            <w:tcBorders>
              <w:top w:val="nil"/>
              <w:left w:val="nil"/>
              <w:bottom w:val="single" w:sz="4" w:space="0" w:color="auto"/>
              <w:right w:val="single" w:sz="4" w:space="0" w:color="auto"/>
            </w:tcBorders>
            <w:shd w:val="clear" w:color="auto" w:fill="auto"/>
            <w:noWrap/>
            <w:vAlign w:val="bottom"/>
            <w:hideMark/>
          </w:tcPr>
          <w:p w14:paraId="15EF981F"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2 981 587,50 zł</w:t>
            </w:r>
          </w:p>
        </w:tc>
        <w:tc>
          <w:tcPr>
            <w:tcW w:w="1292" w:type="dxa"/>
            <w:tcBorders>
              <w:top w:val="nil"/>
              <w:left w:val="nil"/>
              <w:bottom w:val="single" w:sz="4" w:space="0" w:color="auto"/>
              <w:right w:val="single" w:sz="4" w:space="0" w:color="auto"/>
            </w:tcBorders>
            <w:shd w:val="clear" w:color="auto" w:fill="auto"/>
            <w:noWrap/>
            <w:vAlign w:val="bottom"/>
            <w:hideMark/>
          </w:tcPr>
          <w:p w14:paraId="23ABA91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49 782 375,00 zł</w:t>
            </w:r>
          </w:p>
        </w:tc>
        <w:tc>
          <w:tcPr>
            <w:tcW w:w="1180" w:type="dxa"/>
            <w:gridSpan w:val="2"/>
            <w:tcBorders>
              <w:top w:val="single" w:sz="4" w:space="0" w:color="auto"/>
              <w:left w:val="nil"/>
              <w:bottom w:val="single" w:sz="4" w:space="0" w:color="auto"/>
              <w:right w:val="single" w:sz="4" w:space="0" w:color="auto"/>
            </w:tcBorders>
            <w:vAlign w:val="bottom"/>
          </w:tcPr>
          <w:p w14:paraId="0B82AA4E"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5 530 950,00 zł</w:t>
            </w:r>
          </w:p>
        </w:tc>
        <w:tc>
          <w:tcPr>
            <w:tcW w:w="778" w:type="dxa"/>
            <w:tcBorders>
              <w:top w:val="single" w:sz="4" w:space="0" w:color="auto"/>
              <w:left w:val="nil"/>
              <w:bottom w:val="single" w:sz="4" w:space="0" w:color="auto"/>
              <w:right w:val="single" w:sz="4" w:space="0" w:color="auto"/>
            </w:tcBorders>
            <w:vAlign w:val="bottom"/>
          </w:tcPr>
          <w:p w14:paraId="2ECC28B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52 331 737,50 zł</w:t>
            </w:r>
          </w:p>
        </w:tc>
      </w:tr>
      <w:tr w:rsidR="00A6616E" w:rsidRPr="00A6616E" w14:paraId="3B6A5436" w14:textId="77777777" w:rsidTr="009E7E5B">
        <w:trPr>
          <w:trHeight w:val="28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F2EEE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2029</w:t>
            </w:r>
          </w:p>
        </w:tc>
        <w:tc>
          <w:tcPr>
            <w:tcW w:w="1076" w:type="dxa"/>
            <w:tcBorders>
              <w:top w:val="nil"/>
              <w:left w:val="nil"/>
              <w:bottom w:val="single" w:sz="4" w:space="0" w:color="auto"/>
              <w:right w:val="single" w:sz="4" w:space="0" w:color="auto"/>
            </w:tcBorders>
            <w:shd w:val="clear" w:color="auto" w:fill="auto"/>
            <w:noWrap/>
            <w:vAlign w:val="bottom"/>
            <w:hideMark/>
          </w:tcPr>
          <w:p w14:paraId="28C4B09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840000</w:t>
            </w:r>
          </w:p>
        </w:tc>
        <w:tc>
          <w:tcPr>
            <w:tcW w:w="480" w:type="dxa"/>
            <w:tcBorders>
              <w:top w:val="nil"/>
              <w:left w:val="nil"/>
              <w:bottom w:val="single" w:sz="4" w:space="0" w:color="auto"/>
              <w:right w:val="single" w:sz="4" w:space="0" w:color="auto"/>
            </w:tcBorders>
            <w:shd w:val="clear" w:color="auto" w:fill="auto"/>
            <w:noWrap/>
            <w:vAlign w:val="bottom"/>
            <w:hideMark/>
          </w:tcPr>
          <w:p w14:paraId="1CB6ACE7"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100%</w:t>
            </w:r>
          </w:p>
        </w:tc>
        <w:tc>
          <w:tcPr>
            <w:tcW w:w="407" w:type="dxa"/>
            <w:tcBorders>
              <w:top w:val="nil"/>
              <w:left w:val="nil"/>
              <w:bottom w:val="single" w:sz="4" w:space="0" w:color="auto"/>
              <w:right w:val="single" w:sz="4" w:space="0" w:color="auto"/>
            </w:tcBorders>
            <w:shd w:val="clear" w:color="auto" w:fill="auto"/>
            <w:noWrap/>
            <w:vAlign w:val="bottom"/>
            <w:hideMark/>
          </w:tcPr>
          <w:p w14:paraId="2713E7EC"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14:paraId="41B4FF9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13,33 zł</w:t>
            </w:r>
          </w:p>
        </w:tc>
        <w:tc>
          <w:tcPr>
            <w:tcW w:w="808" w:type="dxa"/>
            <w:tcBorders>
              <w:top w:val="nil"/>
              <w:left w:val="nil"/>
              <w:bottom w:val="single" w:sz="4" w:space="0" w:color="auto"/>
              <w:right w:val="single" w:sz="4" w:space="0" w:color="auto"/>
            </w:tcBorders>
            <w:shd w:val="clear" w:color="auto" w:fill="auto"/>
            <w:noWrap/>
            <w:vAlign w:val="bottom"/>
            <w:hideMark/>
          </w:tcPr>
          <w:p w14:paraId="57BDCF7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15,59 zł</w:t>
            </w:r>
          </w:p>
        </w:tc>
        <w:tc>
          <w:tcPr>
            <w:tcW w:w="868" w:type="dxa"/>
            <w:tcBorders>
              <w:top w:val="nil"/>
              <w:left w:val="nil"/>
              <w:bottom w:val="single" w:sz="4" w:space="0" w:color="auto"/>
              <w:right w:val="single" w:sz="4" w:space="0" w:color="auto"/>
            </w:tcBorders>
            <w:shd w:val="clear" w:color="auto" w:fill="auto"/>
            <w:noWrap/>
            <w:vAlign w:val="bottom"/>
            <w:hideMark/>
          </w:tcPr>
          <w:p w14:paraId="27CD0E5B"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260,30 zł</w:t>
            </w:r>
          </w:p>
        </w:tc>
        <w:tc>
          <w:tcPr>
            <w:tcW w:w="1014" w:type="dxa"/>
            <w:tcBorders>
              <w:top w:val="nil"/>
              <w:left w:val="nil"/>
              <w:bottom w:val="single" w:sz="4" w:space="0" w:color="auto"/>
              <w:right w:val="single" w:sz="4" w:space="0" w:color="auto"/>
            </w:tcBorders>
            <w:shd w:val="clear" w:color="auto" w:fill="auto"/>
            <w:noWrap/>
            <w:vAlign w:val="bottom"/>
            <w:hideMark/>
          </w:tcPr>
          <w:p w14:paraId="00AC71C9" w14:textId="77777777" w:rsidR="00A6616E" w:rsidRPr="00A6616E" w:rsidRDefault="00A6616E" w:rsidP="00A6616E">
            <w:pPr>
              <w:spacing w:line="240" w:lineRule="auto"/>
              <w:jc w:val="right"/>
              <w:rPr>
                <w:rFonts w:ascii="Times New Roman" w:eastAsia="Times New Roman" w:hAnsi="Times New Roman"/>
                <w:sz w:val="14"/>
                <w:szCs w:val="14"/>
                <w:lang w:eastAsia="pl-PL"/>
              </w:rPr>
            </w:pPr>
            <w:r w:rsidRPr="00A6616E">
              <w:rPr>
                <w:rFonts w:ascii="Times New Roman" w:eastAsia="Times New Roman" w:hAnsi="Times New Roman"/>
                <w:sz w:val="14"/>
                <w:szCs w:val="14"/>
                <w:lang w:eastAsia="pl-PL"/>
              </w:rPr>
              <w:t>2 799 300,00 zł</w:t>
            </w:r>
          </w:p>
        </w:tc>
        <w:tc>
          <w:tcPr>
            <w:tcW w:w="1014" w:type="dxa"/>
            <w:tcBorders>
              <w:top w:val="nil"/>
              <w:left w:val="nil"/>
              <w:bottom w:val="single" w:sz="4" w:space="0" w:color="auto"/>
              <w:right w:val="single" w:sz="4" w:space="0" w:color="auto"/>
            </w:tcBorders>
            <w:shd w:val="clear" w:color="auto" w:fill="auto"/>
            <w:noWrap/>
            <w:vAlign w:val="bottom"/>
            <w:hideMark/>
          </w:tcPr>
          <w:p w14:paraId="7295CC63"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3 273 900,00 zł</w:t>
            </w:r>
          </w:p>
        </w:tc>
        <w:tc>
          <w:tcPr>
            <w:tcW w:w="1292" w:type="dxa"/>
            <w:tcBorders>
              <w:top w:val="nil"/>
              <w:left w:val="nil"/>
              <w:bottom w:val="single" w:sz="4" w:space="0" w:color="auto"/>
              <w:right w:val="single" w:sz="4" w:space="0" w:color="auto"/>
            </w:tcBorders>
            <w:shd w:val="clear" w:color="auto" w:fill="auto"/>
            <w:noWrap/>
            <w:vAlign w:val="bottom"/>
            <w:hideMark/>
          </w:tcPr>
          <w:p w14:paraId="77CEDDC9"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color w:val="000000"/>
                <w:sz w:val="14"/>
                <w:szCs w:val="14"/>
                <w:lang w:eastAsia="pl-PL"/>
              </w:rPr>
              <w:t>54 663 000,00 zł</w:t>
            </w:r>
          </w:p>
        </w:tc>
        <w:tc>
          <w:tcPr>
            <w:tcW w:w="1180" w:type="dxa"/>
            <w:gridSpan w:val="2"/>
            <w:tcBorders>
              <w:top w:val="single" w:sz="4" w:space="0" w:color="auto"/>
              <w:left w:val="nil"/>
              <w:bottom w:val="single" w:sz="4" w:space="0" w:color="auto"/>
              <w:right w:val="single" w:sz="4" w:space="0" w:color="auto"/>
            </w:tcBorders>
            <w:vAlign w:val="bottom"/>
          </w:tcPr>
          <w:p w14:paraId="561F5C15"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6 073 200,00 zł</w:t>
            </w:r>
          </w:p>
        </w:tc>
        <w:tc>
          <w:tcPr>
            <w:tcW w:w="778" w:type="dxa"/>
            <w:tcBorders>
              <w:top w:val="single" w:sz="4" w:space="0" w:color="auto"/>
              <w:left w:val="nil"/>
              <w:bottom w:val="single" w:sz="4" w:space="0" w:color="auto"/>
              <w:right w:val="single" w:sz="4" w:space="0" w:color="auto"/>
            </w:tcBorders>
            <w:vAlign w:val="bottom"/>
          </w:tcPr>
          <w:p w14:paraId="0C1C7968" w14:textId="77777777" w:rsidR="00A6616E" w:rsidRPr="00A6616E" w:rsidRDefault="00A6616E" w:rsidP="00A6616E">
            <w:pPr>
              <w:spacing w:line="240" w:lineRule="auto"/>
              <w:jc w:val="right"/>
              <w:rPr>
                <w:rFonts w:ascii="Times New Roman" w:eastAsia="Times New Roman" w:hAnsi="Times New Roman"/>
                <w:color w:val="000000"/>
                <w:sz w:val="14"/>
                <w:szCs w:val="14"/>
                <w:lang w:eastAsia="pl-PL"/>
              </w:rPr>
            </w:pPr>
            <w:r w:rsidRPr="00A6616E">
              <w:rPr>
                <w:rFonts w:ascii="Times New Roman" w:eastAsia="Times New Roman" w:hAnsi="Times New Roman"/>
                <w:sz w:val="14"/>
                <w:szCs w:val="14"/>
                <w:lang w:eastAsia="pl-PL"/>
              </w:rPr>
              <w:t>57 462 300,00 zł</w:t>
            </w:r>
          </w:p>
        </w:tc>
      </w:tr>
      <w:tr w:rsidR="00A6616E" w:rsidRPr="00A6616E" w14:paraId="469FED12" w14:textId="77777777" w:rsidTr="009E7E5B">
        <w:trPr>
          <w:trHeight w:val="288"/>
        </w:trPr>
        <w:tc>
          <w:tcPr>
            <w:tcW w:w="780" w:type="dxa"/>
            <w:tcBorders>
              <w:top w:val="nil"/>
              <w:left w:val="single" w:sz="4" w:space="0" w:color="auto"/>
              <w:bottom w:val="single" w:sz="4" w:space="0" w:color="auto"/>
              <w:right w:val="single" w:sz="4" w:space="0" w:color="auto"/>
            </w:tcBorders>
            <w:shd w:val="clear" w:color="000000" w:fill="D9E1F2"/>
            <w:noWrap/>
            <w:vAlign w:val="bottom"/>
            <w:hideMark/>
          </w:tcPr>
          <w:p w14:paraId="792D75C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Suma</w:t>
            </w:r>
          </w:p>
        </w:tc>
        <w:tc>
          <w:tcPr>
            <w:tcW w:w="1076" w:type="dxa"/>
            <w:tcBorders>
              <w:top w:val="nil"/>
              <w:left w:val="nil"/>
              <w:bottom w:val="single" w:sz="4" w:space="0" w:color="auto"/>
              <w:right w:val="single" w:sz="4" w:space="0" w:color="auto"/>
            </w:tcBorders>
            <w:shd w:val="clear" w:color="000000" w:fill="D9E1F2"/>
            <w:noWrap/>
            <w:vAlign w:val="bottom"/>
            <w:hideMark/>
          </w:tcPr>
          <w:p w14:paraId="600B5AA8"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3915000</w:t>
            </w:r>
          </w:p>
        </w:tc>
        <w:tc>
          <w:tcPr>
            <w:tcW w:w="480" w:type="dxa"/>
            <w:tcBorders>
              <w:top w:val="nil"/>
              <w:left w:val="nil"/>
              <w:bottom w:val="single" w:sz="4" w:space="0" w:color="auto"/>
              <w:right w:val="single" w:sz="4" w:space="0" w:color="auto"/>
            </w:tcBorders>
            <w:shd w:val="clear" w:color="auto" w:fill="auto"/>
            <w:noWrap/>
            <w:vAlign w:val="bottom"/>
            <w:hideMark/>
          </w:tcPr>
          <w:p w14:paraId="2EA1CE7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14:paraId="1079EF71"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14:paraId="30E3777A"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08" w:type="dxa"/>
            <w:tcBorders>
              <w:top w:val="nil"/>
              <w:left w:val="nil"/>
              <w:bottom w:val="single" w:sz="4" w:space="0" w:color="auto"/>
              <w:right w:val="single" w:sz="4" w:space="0" w:color="auto"/>
            </w:tcBorders>
            <w:shd w:val="clear" w:color="auto" w:fill="auto"/>
            <w:noWrap/>
            <w:vAlign w:val="bottom"/>
            <w:hideMark/>
          </w:tcPr>
          <w:p w14:paraId="216B4A5B"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68" w:type="dxa"/>
            <w:tcBorders>
              <w:top w:val="nil"/>
              <w:left w:val="nil"/>
              <w:bottom w:val="single" w:sz="4" w:space="0" w:color="auto"/>
              <w:right w:val="single" w:sz="4" w:space="0" w:color="auto"/>
            </w:tcBorders>
            <w:shd w:val="clear" w:color="auto" w:fill="auto"/>
            <w:noWrap/>
            <w:vAlign w:val="bottom"/>
            <w:hideMark/>
          </w:tcPr>
          <w:p w14:paraId="2C104007"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1014" w:type="dxa"/>
            <w:tcBorders>
              <w:top w:val="nil"/>
              <w:left w:val="nil"/>
              <w:bottom w:val="single" w:sz="4" w:space="0" w:color="auto"/>
              <w:right w:val="single" w:sz="4" w:space="0" w:color="auto"/>
            </w:tcBorders>
            <w:shd w:val="clear" w:color="000000" w:fill="D9E1F2"/>
            <w:noWrap/>
            <w:vAlign w:val="bottom"/>
            <w:hideMark/>
          </w:tcPr>
          <w:p w14:paraId="06752483" w14:textId="77777777" w:rsidR="00A6616E" w:rsidRPr="00A6616E" w:rsidRDefault="00A6616E" w:rsidP="00A6616E">
            <w:pPr>
              <w:spacing w:line="240" w:lineRule="auto"/>
              <w:jc w:val="right"/>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13046737,50zł</w:t>
            </w:r>
          </w:p>
        </w:tc>
        <w:tc>
          <w:tcPr>
            <w:tcW w:w="1014" w:type="dxa"/>
            <w:tcBorders>
              <w:top w:val="nil"/>
              <w:left w:val="nil"/>
              <w:bottom w:val="single" w:sz="4" w:space="0" w:color="auto"/>
              <w:right w:val="single" w:sz="4" w:space="0" w:color="auto"/>
            </w:tcBorders>
            <w:shd w:val="clear" w:color="000000" w:fill="D9E1F2"/>
            <w:noWrap/>
            <w:vAlign w:val="bottom"/>
            <w:hideMark/>
          </w:tcPr>
          <w:p w14:paraId="57067281"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15258712,50zł</w:t>
            </w:r>
          </w:p>
        </w:tc>
        <w:tc>
          <w:tcPr>
            <w:tcW w:w="1292" w:type="dxa"/>
            <w:tcBorders>
              <w:top w:val="nil"/>
              <w:left w:val="nil"/>
              <w:bottom w:val="single" w:sz="4" w:space="0" w:color="auto"/>
              <w:right w:val="single" w:sz="4" w:space="0" w:color="auto"/>
            </w:tcBorders>
            <w:shd w:val="clear" w:color="auto" w:fill="D9E2F3" w:themeFill="accent1" w:themeFillTint="33"/>
            <w:noWrap/>
            <w:vAlign w:val="bottom"/>
            <w:hideMark/>
          </w:tcPr>
          <w:p w14:paraId="2D63B28E"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254768625,00zł</w:t>
            </w:r>
          </w:p>
        </w:tc>
        <w:tc>
          <w:tcPr>
            <w:tcW w:w="1180"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tcPr>
          <w:p w14:paraId="64C5B671"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28305450,00zł</w:t>
            </w:r>
          </w:p>
        </w:tc>
        <w:tc>
          <w:tcPr>
            <w:tcW w:w="778"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0FF50A7C"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267815362,50zł</w:t>
            </w:r>
          </w:p>
        </w:tc>
      </w:tr>
      <w:tr w:rsidR="00A6616E" w:rsidRPr="00A6616E" w14:paraId="539FDF4F" w14:textId="77777777" w:rsidTr="009E7E5B">
        <w:trPr>
          <w:trHeight w:val="288"/>
        </w:trPr>
        <w:tc>
          <w:tcPr>
            <w:tcW w:w="780" w:type="dxa"/>
            <w:tcBorders>
              <w:top w:val="nil"/>
              <w:left w:val="single" w:sz="4" w:space="0" w:color="auto"/>
              <w:bottom w:val="single" w:sz="4" w:space="0" w:color="auto"/>
              <w:right w:val="single" w:sz="4" w:space="0" w:color="auto"/>
            </w:tcBorders>
            <w:shd w:val="clear" w:color="000000" w:fill="D9E1F2"/>
            <w:noWrap/>
            <w:vAlign w:val="bottom"/>
            <w:hideMark/>
          </w:tcPr>
          <w:p w14:paraId="0056A3F5"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Średnio na 1 MWh</w:t>
            </w:r>
          </w:p>
        </w:tc>
        <w:tc>
          <w:tcPr>
            <w:tcW w:w="1076" w:type="dxa"/>
            <w:tcBorders>
              <w:top w:val="nil"/>
              <w:left w:val="nil"/>
              <w:bottom w:val="single" w:sz="4" w:space="0" w:color="auto"/>
              <w:right w:val="single" w:sz="4" w:space="0" w:color="auto"/>
            </w:tcBorders>
            <w:shd w:val="clear" w:color="000000" w:fill="D9E1F2"/>
            <w:noWrap/>
            <w:vAlign w:val="bottom"/>
            <w:hideMark/>
          </w:tcPr>
          <w:p w14:paraId="16DCAE5F"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14:paraId="2B1A271D"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14:paraId="255B5903"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14:paraId="3C728D19"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08" w:type="dxa"/>
            <w:tcBorders>
              <w:top w:val="nil"/>
              <w:left w:val="nil"/>
              <w:bottom w:val="single" w:sz="4" w:space="0" w:color="auto"/>
              <w:right w:val="single" w:sz="4" w:space="0" w:color="auto"/>
            </w:tcBorders>
            <w:shd w:val="clear" w:color="auto" w:fill="auto"/>
            <w:noWrap/>
            <w:vAlign w:val="bottom"/>
            <w:hideMark/>
          </w:tcPr>
          <w:p w14:paraId="119BDD17"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868" w:type="dxa"/>
            <w:tcBorders>
              <w:top w:val="nil"/>
              <w:left w:val="nil"/>
              <w:bottom w:val="single" w:sz="4" w:space="0" w:color="auto"/>
              <w:right w:val="single" w:sz="4" w:space="0" w:color="auto"/>
            </w:tcBorders>
            <w:shd w:val="clear" w:color="auto" w:fill="auto"/>
            <w:noWrap/>
            <w:vAlign w:val="bottom"/>
            <w:hideMark/>
          </w:tcPr>
          <w:p w14:paraId="237D6924" w14:textId="77777777" w:rsidR="00A6616E" w:rsidRPr="00A6616E" w:rsidRDefault="00A6616E" w:rsidP="00A6616E">
            <w:pPr>
              <w:spacing w:line="240" w:lineRule="auto"/>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 </w:t>
            </w:r>
          </w:p>
        </w:tc>
        <w:tc>
          <w:tcPr>
            <w:tcW w:w="1014" w:type="dxa"/>
            <w:tcBorders>
              <w:top w:val="nil"/>
              <w:left w:val="nil"/>
              <w:bottom w:val="single" w:sz="4" w:space="0" w:color="auto"/>
              <w:right w:val="single" w:sz="4" w:space="0" w:color="auto"/>
            </w:tcBorders>
            <w:shd w:val="clear" w:color="000000" w:fill="D9E1F2"/>
            <w:noWrap/>
            <w:vAlign w:val="bottom"/>
            <w:hideMark/>
          </w:tcPr>
          <w:p w14:paraId="1D373CE2" w14:textId="77777777" w:rsidR="00A6616E" w:rsidRPr="00A6616E" w:rsidRDefault="00A6616E" w:rsidP="00A6616E">
            <w:pPr>
              <w:spacing w:line="240" w:lineRule="auto"/>
              <w:jc w:val="right"/>
              <w:rPr>
                <w:rFonts w:ascii="Times New Roman" w:eastAsia="Times New Roman" w:hAnsi="Times New Roman"/>
                <w:b/>
                <w:bCs/>
                <w:sz w:val="14"/>
                <w:szCs w:val="14"/>
                <w:lang w:eastAsia="pl-PL"/>
              </w:rPr>
            </w:pPr>
            <w:r w:rsidRPr="00A6616E">
              <w:rPr>
                <w:rFonts w:ascii="Times New Roman" w:eastAsia="Times New Roman" w:hAnsi="Times New Roman"/>
                <w:b/>
                <w:bCs/>
                <w:sz w:val="14"/>
                <w:szCs w:val="14"/>
                <w:lang w:eastAsia="pl-PL"/>
              </w:rPr>
              <w:t>3,33 zł</w:t>
            </w:r>
          </w:p>
        </w:tc>
        <w:tc>
          <w:tcPr>
            <w:tcW w:w="1014" w:type="dxa"/>
            <w:tcBorders>
              <w:top w:val="nil"/>
              <w:left w:val="nil"/>
              <w:bottom w:val="single" w:sz="4" w:space="0" w:color="auto"/>
              <w:right w:val="single" w:sz="4" w:space="0" w:color="auto"/>
            </w:tcBorders>
            <w:shd w:val="clear" w:color="000000" w:fill="D9E1F2"/>
            <w:noWrap/>
            <w:vAlign w:val="bottom"/>
            <w:hideMark/>
          </w:tcPr>
          <w:p w14:paraId="6B27636B"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3,90 zł</w:t>
            </w:r>
          </w:p>
        </w:tc>
        <w:tc>
          <w:tcPr>
            <w:tcW w:w="1292" w:type="dxa"/>
            <w:tcBorders>
              <w:top w:val="nil"/>
              <w:left w:val="nil"/>
              <w:bottom w:val="single" w:sz="4" w:space="0" w:color="auto"/>
              <w:right w:val="single" w:sz="4" w:space="0" w:color="auto"/>
            </w:tcBorders>
            <w:shd w:val="clear" w:color="auto" w:fill="D9E2F3" w:themeFill="accent1" w:themeFillTint="33"/>
            <w:noWrap/>
            <w:vAlign w:val="bottom"/>
            <w:hideMark/>
          </w:tcPr>
          <w:p w14:paraId="611DFE59"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color w:val="000000"/>
                <w:sz w:val="14"/>
                <w:szCs w:val="14"/>
                <w:lang w:eastAsia="pl-PL"/>
              </w:rPr>
              <w:t>65,08 zł</w:t>
            </w:r>
          </w:p>
        </w:tc>
        <w:tc>
          <w:tcPr>
            <w:tcW w:w="1180"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tcPr>
          <w:p w14:paraId="56B38D8C"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7,23 zł</w:t>
            </w:r>
          </w:p>
        </w:tc>
        <w:tc>
          <w:tcPr>
            <w:tcW w:w="778"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14A1F4F" w14:textId="77777777" w:rsidR="00A6616E" w:rsidRPr="00A6616E" w:rsidRDefault="00A6616E" w:rsidP="00A6616E">
            <w:pPr>
              <w:spacing w:line="240" w:lineRule="auto"/>
              <w:jc w:val="right"/>
              <w:rPr>
                <w:rFonts w:ascii="Times New Roman" w:eastAsia="Times New Roman" w:hAnsi="Times New Roman"/>
                <w:b/>
                <w:bCs/>
                <w:color w:val="000000"/>
                <w:sz w:val="14"/>
                <w:szCs w:val="14"/>
                <w:lang w:eastAsia="pl-PL"/>
              </w:rPr>
            </w:pPr>
            <w:r w:rsidRPr="00A6616E">
              <w:rPr>
                <w:rFonts w:ascii="Times New Roman" w:eastAsia="Times New Roman" w:hAnsi="Times New Roman"/>
                <w:b/>
                <w:bCs/>
                <w:sz w:val="14"/>
                <w:szCs w:val="14"/>
                <w:lang w:eastAsia="pl-PL"/>
              </w:rPr>
              <w:t>68,41 zł</w:t>
            </w:r>
          </w:p>
        </w:tc>
      </w:tr>
    </w:tbl>
    <w:p w14:paraId="29DF74BA" w14:textId="6E04F246" w:rsidR="002020BA" w:rsidRPr="00687093" w:rsidRDefault="002020BA" w:rsidP="00BF0F4C">
      <w:pPr>
        <w:spacing w:before="120" w:line="240" w:lineRule="auto"/>
        <w:jc w:val="both"/>
        <w:rPr>
          <w:rFonts w:ascii="Times New Roman" w:hAnsi="Times New Roman"/>
          <w:i/>
          <w:sz w:val="20"/>
          <w:szCs w:val="20"/>
        </w:rPr>
      </w:pPr>
      <w:r w:rsidRPr="00687093">
        <w:rPr>
          <w:rFonts w:ascii="Times New Roman" w:hAnsi="Times New Roman"/>
          <w:i/>
          <w:sz w:val="20"/>
          <w:szCs w:val="20"/>
        </w:rPr>
        <w:t>Źródło: Opracowanie własne Ministerstwa Klimatu i Środowiska.</w:t>
      </w:r>
    </w:p>
    <w:p w14:paraId="69CFD2AD" w14:textId="77777777" w:rsidR="002020BA" w:rsidRPr="00687093" w:rsidRDefault="002020BA" w:rsidP="002020BA">
      <w:pPr>
        <w:spacing w:line="240" w:lineRule="auto"/>
        <w:jc w:val="both"/>
        <w:rPr>
          <w:rFonts w:ascii="Times New Roman" w:hAnsi="Times New Roman"/>
        </w:rPr>
      </w:pPr>
    </w:p>
    <w:p w14:paraId="64D225F7" w14:textId="46AE5C90" w:rsidR="002020BA" w:rsidRDefault="002020BA" w:rsidP="002020BA">
      <w:pPr>
        <w:spacing w:after="80" w:line="240" w:lineRule="auto"/>
        <w:jc w:val="both"/>
        <w:rPr>
          <w:rFonts w:ascii="Times New Roman" w:hAnsi="Times New Roman"/>
        </w:rPr>
      </w:pPr>
      <w:r w:rsidRPr="00687093">
        <w:rPr>
          <w:rFonts w:ascii="Times New Roman" w:hAnsi="Times New Roman"/>
        </w:rPr>
        <w:t xml:space="preserve">Zaprezentowane w tabeli </w:t>
      </w:r>
      <w:r w:rsidR="000D4FA3">
        <w:rPr>
          <w:rFonts w:ascii="Times New Roman" w:hAnsi="Times New Roman"/>
        </w:rPr>
        <w:t>3</w:t>
      </w:r>
      <w:r w:rsidRPr="00687093">
        <w:rPr>
          <w:rFonts w:ascii="Times New Roman" w:hAnsi="Times New Roman"/>
        </w:rPr>
        <w:t xml:space="preserve"> dane wskazują, iż w okresie od dnia 1 </w:t>
      </w:r>
      <w:r w:rsidR="00A6616E">
        <w:rPr>
          <w:rFonts w:ascii="Times New Roman" w:hAnsi="Times New Roman"/>
        </w:rPr>
        <w:t>stycznia</w:t>
      </w:r>
      <w:r w:rsidR="001679D9">
        <w:rPr>
          <w:rFonts w:ascii="Times New Roman" w:hAnsi="Times New Roman"/>
        </w:rPr>
        <w:t xml:space="preserve"> </w:t>
      </w:r>
      <w:r w:rsidRPr="00687093">
        <w:rPr>
          <w:rFonts w:ascii="Times New Roman" w:hAnsi="Times New Roman"/>
        </w:rPr>
        <w:t>202</w:t>
      </w:r>
      <w:r w:rsidR="00A6616E">
        <w:rPr>
          <w:rFonts w:ascii="Times New Roman" w:hAnsi="Times New Roman"/>
        </w:rPr>
        <w:t>4</w:t>
      </w:r>
      <w:r w:rsidRPr="00687093">
        <w:rPr>
          <w:rFonts w:ascii="Times New Roman" w:hAnsi="Times New Roman"/>
        </w:rPr>
        <w:t xml:space="preserve"> roku do dnia 31 grudnia 2029</w:t>
      </w:r>
      <w:r w:rsidR="00933704">
        <w:rPr>
          <w:rFonts w:ascii="Times New Roman" w:hAnsi="Times New Roman"/>
        </w:rPr>
        <w:t xml:space="preserve"> roku</w:t>
      </w:r>
      <w:r w:rsidRPr="00687093">
        <w:rPr>
          <w:rFonts w:ascii="Times New Roman" w:hAnsi="Times New Roman"/>
        </w:rPr>
        <w:t xml:space="preserve">, klastry energii, które </w:t>
      </w:r>
      <w:r w:rsidR="000D79EA" w:rsidRPr="00687093">
        <w:rPr>
          <w:rFonts w:ascii="Times New Roman" w:hAnsi="Times New Roman"/>
        </w:rPr>
        <w:t>wyka</w:t>
      </w:r>
      <w:r w:rsidR="000D79EA">
        <w:rPr>
          <w:rFonts w:ascii="Times New Roman" w:hAnsi="Times New Roman"/>
        </w:rPr>
        <w:t>załyby</w:t>
      </w:r>
      <w:r w:rsidRPr="00687093">
        <w:rPr>
          <w:rFonts w:ascii="Times New Roman" w:hAnsi="Times New Roman"/>
        </w:rPr>
        <w:t xml:space="preserve"> poziom </w:t>
      </w:r>
      <w:r w:rsidR="000D4FA3">
        <w:rPr>
          <w:rFonts w:ascii="Times New Roman" w:hAnsi="Times New Roman"/>
        </w:rPr>
        <w:t>zużycia własnego</w:t>
      </w:r>
      <w:r w:rsidR="00253E6F">
        <w:rPr>
          <w:rFonts w:ascii="Times New Roman" w:hAnsi="Times New Roman"/>
        </w:rPr>
        <w:t xml:space="preserve"> </w:t>
      </w:r>
      <w:r w:rsidR="000D79EA">
        <w:rPr>
          <w:rFonts w:ascii="Times New Roman" w:hAnsi="Times New Roman"/>
        </w:rPr>
        <w:t>n</w:t>
      </w:r>
      <w:r w:rsidRPr="00687093">
        <w:rPr>
          <w:rFonts w:ascii="Times New Roman" w:hAnsi="Times New Roman"/>
        </w:rPr>
        <w:t xml:space="preserve">a poziomie 100% </w:t>
      </w:r>
      <w:r w:rsidR="00253E6F" w:rsidRPr="00687093">
        <w:rPr>
          <w:rFonts w:ascii="Times New Roman" w:hAnsi="Times New Roman"/>
        </w:rPr>
        <w:t>mog</w:t>
      </w:r>
      <w:r w:rsidR="00253E6F">
        <w:rPr>
          <w:rFonts w:ascii="Times New Roman" w:hAnsi="Times New Roman"/>
        </w:rPr>
        <w:t>łyby</w:t>
      </w:r>
      <w:r w:rsidRPr="00687093">
        <w:rPr>
          <w:rFonts w:ascii="Times New Roman" w:hAnsi="Times New Roman"/>
        </w:rPr>
        <w:t xml:space="preserve"> liczyć, w zależności od wartości taryfy dystrybucyjnej, na średnie wsparcie odpowiednio na poziomie od </w:t>
      </w:r>
      <w:r w:rsidR="00B50232">
        <w:rPr>
          <w:rFonts w:ascii="Times New Roman" w:hAnsi="Times New Roman"/>
        </w:rPr>
        <w:t>7,23</w:t>
      </w:r>
      <w:r w:rsidRPr="00687093">
        <w:rPr>
          <w:rFonts w:ascii="Times New Roman" w:hAnsi="Times New Roman"/>
        </w:rPr>
        <w:t xml:space="preserve"> zł/MWh do 6</w:t>
      </w:r>
      <w:r w:rsidR="001679D9">
        <w:rPr>
          <w:rFonts w:ascii="Times New Roman" w:hAnsi="Times New Roman"/>
        </w:rPr>
        <w:t>8</w:t>
      </w:r>
      <w:r w:rsidRPr="00687093">
        <w:rPr>
          <w:rFonts w:ascii="Times New Roman" w:hAnsi="Times New Roman"/>
        </w:rPr>
        <w:t>,</w:t>
      </w:r>
      <w:r w:rsidR="001679D9">
        <w:rPr>
          <w:rFonts w:ascii="Times New Roman" w:hAnsi="Times New Roman"/>
        </w:rPr>
        <w:t>41</w:t>
      </w:r>
      <w:r w:rsidRPr="00687093">
        <w:rPr>
          <w:rFonts w:ascii="Times New Roman" w:hAnsi="Times New Roman"/>
        </w:rPr>
        <w:t xml:space="preserve"> zł/MWh. </w:t>
      </w:r>
    </w:p>
    <w:p w14:paraId="150A08B4" w14:textId="0476394A" w:rsidR="002020BA" w:rsidRDefault="002020BA" w:rsidP="002020BA">
      <w:pPr>
        <w:spacing w:after="80" w:line="259" w:lineRule="auto"/>
        <w:jc w:val="both"/>
        <w:rPr>
          <w:rFonts w:ascii="Times New Roman" w:hAnsi="Times New Roman"/>
        </w:rPr>
      </w:pPr>
      <w:r w:rsidRPr="00800C1C">
        <w:rPr>
          <w:rFonts w:ascii="Times New Roman" w:hAnsi="Times New Roman"/>
        </w:rPr>
        <w:t>Kluczowym elementem projektowanych rozwiązań jest wygenerowanie wartości dodanej</w:t>
      </w:r>
      <w:r w:rsidR="00775790">
        <w:rPr>
          <w:rFonts w:ascii="Times New Roman" w:hAnsi="Times New Roman"/>
        </w:rPr>
        <w:t xml:space="preserve"> w postaci wyraźnych oszczędności</w:t>
      </w:r>
      <w:r w:rsidR="00933704">
        <w:rPr>
          <w:rFonts w:ascii="Times New Roman" w:hAnsi="Times New Roman"/>
        </w:rPr>
        <w:t xml:space="preserve"> w ramach klastra</w:t>
      </w:r>
      <w:r w:rsidR="00140245">
        <w:rPr>
          <w:rFonts w:ascii="Times New Roman" w:hAnsi="Times New Roman"/>
        </w:rPr>
        <w:t xml:space="preserve"> energii</w:t>
      </w:r>
      <w:r w:rsidRPr="00800C1C">
        <w:rPr>
          <w:rFonts w:ascii="Times New Roman" w:hAnsi="Times New Roman"/>
        </w:rPr>
        <w:t xml:space="preserve">, która to będzie rozdysponowywana przez sam klaster. </w:t>
      </w:r>
      <w:r w:rsidR="00923257">
        <w:rPr>
          <w:rFonts w:ascii="Times New Roman" w:hAnsi="Times New Roman"/>
        </w:rPr>
        <w:t>P</w:t>
      </w:r>
      <w:r w:rsidRPr="00800C1C">
        <w:rPr>
          <w:rFonts w:ascii="Times New Roman" w:hAnsi="Times New Roman"/>
        </w:rPr>
        <w:t>ozwala</w:t>
      </w:r>
      <w:r w:rsidR="00923257">
        <w:rPr>
          <w:rFonts w:ascii="Times New Roman" w:hAnsi="Times New Roman"/>
        </w:rPr>
        <w:t xml:space="preserve"> to</w:t>
      </w:r>
      <w:r w:rsidRPr="00800C1C">
        <w:rPr>
          <w:rFonts w:ascii="Times New Roman" w:hAnsi="Times New Roman"/>
        </w:rPr>
        <w:t xml:space="preserve"> na budowanie bardzo zindywidualizowanych</w:t>
      </w:r>
      <w:r w:rsidR="00775790">
        <w:rPr>
          <w:rFonts w:ascii="Times New Roman" w:hAnsi="Times New Roman"/>
        </w:rPr>
        <w:t xml:space="preserve"> </w:t>
      </w:r>
      <w:r w:rsidR="00775790" w:rsidRPr="00800C1C">
        <w:rPr>
          <w:rFonts w:ascii="Times New Roman" w:hAnsi="Times New Roman"/>
        </w:rPr>
        <w:t>modeli biznesowych</w:t>
      </w:r>
      <w:r w:rsidR="00775790">
        <w:rPr>
          <w:rFonts w:ascii="Times New Roman" w:hAnsi="Times New Roman"/>
        </w:rPr>
        <w:t xml:space="preserve">, w czym </w:t>
      </w:r>
      <w:r w:rsidRPr="00800C1C">
        <w:rPr>
          <w:rFonts w:ascii="Times New Roman" w:hAnsi="Times New Roman"/>
        </w:rPr>
        <w:t>istotną rolę od</w:t>
      </w:r>
      <w:r w:rsidR="004F6E1E">
        <w:rPr>
          <w:rFonts w:ascii="Times New Roman" w:hAnsi="Times New Roman"/>
        </w:rPr>
        <w:t>egra</w:t>
      </w:r>
      <w:r w:rsidRPr="00800C1C">
        <w:rPr>
          <w:rFonts w:ascii="Times New Roman" w:hAnsi="Times New Roman"/>
        </w:rPr>
        <w:t xml:space="preserve"> koordynator klastra, który dla budowy strategii wykorzystuje </w:t>
      </w:r>
      <w:r w:rsidR="00775790">
        <w:rPr>
          <w:rFonts w:ascii="Times New Roman" w:hAnsi="Times New Roman"/>
        </w:rPr>
        <w:t xml:space="preserve">wspomnianą </w:t>
      </w:r>
      <w:r w:rsidRPr="00800C1C">
        <w:rPr>
          <w:rFonts w:ascii="Times New Roman" w:hAnsi="Times New Roman"/>
        </w:rPr>
        <w:t xml:space="preserve">wartość dodaną wygenerowaną w klastrze. </w:t>
      </w:r>
    </w:p>
    <w:p w14:paraId="3CFC8B0D" w14:textId="5FA58847" w:rsidR="002020BA" w:rsidRDefault="002020BA" w:rsidP="002020BA">
      <w:pPr>
        <w:spacing w:after="80" w:line="240" w:lineRule="auto"/>
        <w:jc w:val="both"/>
        <w:rPr>
          <w:rFonts w:ascii="Times New Roman" w:hAnsi="Times New Roman"/>
        </w:rPr>
      </w:pPr>
      <w:r w:rsidRPr="00800C1C">
        <w:rPr>
          <w:rFonts w:ascii="Times New Roman" w:hAnsi="Times New Roman"/>
        </w:rPr>
        <w:t xml:space="preserve">Klaster energii, by móc wejść do systemu rozwiązań zaproponowanych w ramach </w:t>
      </w:r>
      <w:r>
        <w:rPr>
          <w:rFonts w:ascii="Times New Roman" w:hAnsi="Times New Roman"/>
        </w:rPr>
        <w:t>projektu ustawy</w:t>
      </w:r>
      <w:r w:rsidRPr="00800C1C">
        <w:rPr>
          <w:rFonts w:ascii="Times New Roman" w:hAnsi="Times New Roman"/>
        </w:rPr>
        <w:t xml:space="preserve"> </w:t>
      </w:r>
      <w:r>
        <w:rPr>
          <w:rFonts w:ascii="Times New Roman" w:hAnsi="Times New Roman"/>
        </w:rPr>
        <w:t>będzie zobowiązany</w:t>
      </w:r>
      <w:r w:rsidRPr="00800C1C">
        <w:rPr>
          <w:rFonts w:ascii="Times New Roman" w:hAnsi="Times New Roman"/>
        </w:rPr>
        <w:t xml:space="preserve"> wyka</w:t>
      </w:r>
      <w:r>
        <w:rPr>
          <w:rFonts w:ascii="Times New Roman" w:hAnsi="Times New Roman"/>
        </w:rPr>
        <w:t xml:space="preserve">zać 40% poziom </w:t>
      </w:r>
      <w:r w:rsidR="000D4FA3">
        <w:rPr>
          <w:rFonts w:ascii="Times New Roman" w:hAnsi="Times New Roman"/>
        </w:rPr>
        <w:t>zużycia własnego</w:t>
      </w:r>
      <w:r w:rsidR="00B50232">
        <w:rPr>
          <w:rFonts w:ascii="Times New Roman" w:hAnsi="Times New Roman"/>
        </w:rPr>
        <w:t xml:space="preserve"> </w:t>
      </w:r>
      <w:r>
        <w:rPr>
          <w:rFonts w:ascii="Times New Roman" w:hAnsi="Times New Roman"/>
        </w:rPr>
        <w:t>(</w:t>
      </w:r>
      <w:r w:rsidRPr="00800C1C">
        <w:rPr>
          <w:rFonts w:ascii="Times New Roman" w:hAnsi="Times New Roman"/>
        </w:rPr>
        <w:t>od roku 202</w:t>
      </w:r>
      <w:r w:rsidR="00A6616E">
        <w:rPr>
          <w:rFonts w:ascii="Times New Roman" w:hAnsi="Times New Roman"/>
        </w:rPr>
        <w:t>7</w:t>
      </w:r>
      <w:r w:rsidRPr="00800C1C">
        <w:rPr>
          <w:rFonts w:ascii="Times New Roman" w:hAnsi="Times New Roman"/>
        </w:rPr>
        <w:t xml:space="preserve"> – 50%). Wówczas uzyskuje on uprawnienie do skorzystania ze zwolnienia w stosunku do energii z OZE wytworzonej przez członków tego klastra. Na zwolnienie to składa się zwolnienie z opłaty OZE oraz z opłaty kogeneracyjnej. Dodatkowo</w:t>
      </w:r>
      <w:r w:rsidR="00597419">
        <w:rPr>
          <w:rFonts w:ascii="Times New Roman" w:hAnsi="Times New Roman"/>
        </w:rPr>
        <w:t>,</w:t>
      </w:r>
      <w:r w:rsidRPr="00800C1C">
        <w:rPr>
          <w:rFonts w:ascii="Times New Roman" w:hAnsi="Times New Roman"/>
        </w:rPr>
        <w:t xml:space="preserve"> w stosunku do energii elektrycznej zużywanej przez członków klastra, a wytworzonej z OZE również przez członków tego klastra wprowadza się brak obowiązku umarzania certyfikatów. Zwolnienie z opłaty kogeneracyjnej,</w:t>
      </w:r>
      <w:r>
        <w:rPr>
          <w:rFonts w:ascii="Times New Roman" w:hAnsi="Times New Roman"/>
        </w:rPr>
        <w:t xml:space="preserve"> opłaty OZE</w:t>
      </w:r>
      <w:r w:rsidRPr="00800C1C">
        <w:rPr>
          <w:rFonts w:ascii="Times New Roman" w:hAnsi="Times New Roman"/>
        </w:rPr>
        <w:t xml:space="preserve"> oraz z konieczności umarzania certyfikatów daje oszczędności w postaci obciążeń widocznych w rachunku odbiorców i to jest wartość dodana, która może być rozdysponowana w klastrze energii. Projektowane rozwiązanie nie ingeruje w sam system certyfikatów, a jedynie wprowadza zwolnienie dla energii z OZE w</w:t>
      </w:r>
      <w:r>
        <w:rPr>
          <w:rFonts w:ascii="Times New Roman" w:hAnsi="Times New Roman"/>
        </w:rPr>
        <w:t>ytworzonej</w:t>
      </w:r>
      <w:r w:rsidR="00A6616E">
        <w:rPr>
          <w:rFonts w:ascii="Times New Roman" w:hAnsi="Times New Roman"/>
        </w:rPr>
        <w:t xml:space="preserve"> w </w:t>
      </w:r>
      <w:r w:rsidRPr="00800C1C">
        <w:rPr>
          <w:rFonts w:ascii="Times New Roman" w:hAnsi="Times New Roman"/>
        </w:rPr>
        <w:t xml:space="preserve">ramach klastra. </w:t>
      </w:r>
    </w:p>
    <w:p w14:paraId="19FF8BED" w14:textId="2DE8A593" w:rsidR="001C24CF" w:rsidRDefault="002020BA" w:rsidP="00282CF3">
      <w:pPr>
        <w:jc w:val="both"/>
        <w:rPr>
          <w:rFonts w:ascii="Times New Roman" w:hAnsi="Times New Roman"/>
        </w:rPr>
      </w:pPr>
      <w:r w:rsidRPr="00800C1C">
        <w:rPr>
          <w:rFonts w:ascii="Times New Roman" w:hAnsi="Times New Roman"/>
        </w:rPr>
        <w:t xml:space="preserve">Projektowane rozwiązanie łączy się </w:t>
      </w:r>
      <w:r>
        <w:rPr>
          <w:rFonts w:ascii="Times New Roman" w:hAnsi="Times New Roman"/>
        </w:rPr>
        <w:t>również</w:t>
      </w:r>
      <w:r w:rsidRPr="00800C1C">
        <w:rPr>
          <w:rFonts w:ascii="Times New Roman" w:hAnsi="Times New Roman"/>
        </w:rPr>
        <w:t xml:space="preserve"> z korzyściami dla systemu</w:t>
      </w:r>
      <w:r>
        <w:rPr>
          <w:rFonts w:ascii="Times New Roman" w:hAnsi="Times New Roman"/>
        </w:rPr>
        <w:t xml:space="preserve"> elektroenergetycznego</w:t>
      </w:r>
      <w:r w:rsidR="00597419">
        <w:rPr>
          <w:rFonts w:ascii="Times New Roman" w:hAnsi="Times New Roman"/>
        </w:rPr>
        <w:t>,</w:t>
      </w:r>
      <w:r w:rsidRPr="00800C1C">
        <w:rPr>
          <w:rFonts w:ascii="Times New Roman" w:hAnsi="Times New Roman"/>
        </w:rPr>
        <w:t xml:space="preserve"> </w:t>
      </w:r>
      <w:r w:rsidR="00597419">
        <w:rPr>
          <w:rFonts w:ascii="Times New Roman" w:hAnsi="Times New Roman"/>
        </w:rPr>
        <w:t>b</w:t>
      </w:r>
      <w:r w:rsidR="00597419" w:rsidRPr="00800C1C">
        <w:rPr>
          <w:rFonts w:ascii="Times New Roman" w:hAnsi="Times New Roman"/>
        </w:rPr>
        <w:t xml:space="preserve">owiem </w:t>
      </w:r>
      <w:r w:rsidRPr="00800C1C">
        <w:rPr>
          <w:rFonts w:ascii="Times New Roman" w:hAnsi="Times New Roman"/>
        </w:rPr>
        <w:t>konsumpcja ener</w:t>
      </w:r>
      <w:r>
        <w:rPr>
          <w:rFonts w:ascii="Times New Roman" w:hAnsi="Times New Roman"/>
        </w:rPr>
        <w:t>gii w miejscu jej wytworzenia (</w:t>
      </w:r>
      <w:r w:rsidRPr="00800C1C">
        <w:rPr>
          <w:rFonts w:ascii="Times New Roman" w:hAnsi="Times New Roman"/>
        </w:rPr>
        <w:t xml:space="preserve">lub w bliskim sąsiedztwie) daje oszczędności w obszarze </w:t>
      </w:r>
      <w:r>
        <w:rPr>
          <w:rFonts w:ascii="Times New Roman" w:hAnsi="Times New Roman"/>
        </w:rPr>
        <w:t xml:space="preserve">możliwości uniknięcia </w:t>
      </w:r>
      <w:r w:rsidRPr="00800C1C">
        <w:rPr>
          <w:rFonts w:ascii="Times New Roman" w:hAnsi="Times New Roman"/>
        </w:rPr>
        <w:t>strat technicznych na sieciach. Szacuje się, iż wynoszą one ok 4,13 zł/ MWh (stra</w:t>
      </w:r>
      <w:r>
        <w:rPr>
          <w:rFonts w:ascii="Times New Roman" w:hAnsi="Times New Roman"/>
        </w:rPr>
        <w:t>ty techniczne OSP) i 8 zł/MWh (</w:t>
      </w:r>
      <w:r w:rsidRPr="00800C1C">
        <w:rPr>
          <w:rFonts w:ascii="Times New Roman" w:hAnsi="Times New Roman"/>
        </w:rPr>
        <w:t>straty techniczne OSD). Ponadto</w:t>
      </w:r>
      <w:r w:rsidR="00597419">
        <w:rPr>
          <w:rFonts w:ascii="Times New Roman" w:hAnsi="Times New Roman"/>
        </w:rPr>
        <w:t>,</w:t>
      </w:r>
      <w:r w:rsidRPr="00800C1C">
        <w:rPr>
          <w:rFonts w:ascii="Times New Roman" w:hAnsi="Times New Roman"/>
        </w:rPr>
        <w:t xml:space="preserve"> możliwe jest obniżenie kosztów zakupu regulacyjnych usług systemowych (ok. 16,63 zł/MWh). Łącznie </w:t>
      </w:r>
      <w:r>
        <w:rPr>
          <w:rFonts w:ascii="Times New Roman" w:hAnsi="Times New Roman"/>
        </w:rPr>
        <w:t>mowa jest</w:t>
      </w:r>
      <w:r w:rsidRPr="00800C1C">
        <w:rPr>
          <w:rFonts w:ascii="Times New Roman" w:hAnsi="Times New Roman"/>
        </w:rPr>
        <w:t xml:space="preserve"> o oszczędnościach sięgających 28,76 zł/MWh.</w:t>
      </w:r>
    </w:p>
    <w:p w14:paraId="4CA8533E" w14:textId="77777777" w:rsidR="003D1011" w:rsidRDefault="003D1011" w:rsidP="00282CF3">
      <w:pPr>
        <w:jc w:val="both"/>
        <w:rPr>
          <w:rFonts w:ascii="Times New Roman" w:hAnsi="Times New Roman"/>
        </w:rPr>
      </w:pPr>
    </w:p>
    <w:p w14:paraId="708E3D59" w14:textId="77777777" w:rsidR="003D1011" w:rsidRDefault="003D1011" w:rsidP="00282CF3">
      <w:pPr>
        <w:jc w:val="both"/>
        <w:rPr>
          <w:rFonts w:ascii="Times New Roman" w:hAnsi="Times New Roman"/>
        </w:rPr>
      </w:pPr>
    </w:p>
    <w:p w14:paraId="1BD478A5" w14:textId="77777777" w:rsidR="003D1011" w:rsidRDefault="003D1011" w:rsidP="00282CF3">
      <w:pPr>
        <w:jc w:val="both"/>
        <w:rPr>
          <w:rFonts w:ascii="Times New Roman" w:hAnsi="Times New Roman"/>
        </w:rPr>
      </w:pPr>
    </w:p>
    <w:p w14:paraId="4125086A" w14:textId="77777777" w:rsidR="003D1011" w:rsidRDefault="003D1011" w:rsidP="00282CF3">
      <w:pPr>
        <w:jc w:val="both"/>
        <w:rPr>
          <w:rFonts w:ascii="Times New Roman" w:hAnsi="Times New Roman"/>
        </w:rPr>
      </w:pPr>
    </w:p>
    <w:p w14:paraId="44C0A65F" w14:textId="77777777" w:rsidR="003D1011" w:rsidRDefault="003D1011" w:rsidP="00282CF3">
      <w:pPr>
        <w:jc w:val="both"/>
        <w:rPr>
          <w:rFonts w:ascii="Times New Roman" w:hAnsi="Times New Roman"/>
        </w:rPr>
      </w:pPr>
    </w:p>
    <w:p w14:paraId="65151719" w14:textId="77777777" w:rsidR="003D1011" w:rsidRPr="003D1011" w:rsidRDefault="003D1011" w:rsidP="003D1011">
      <w:pPr>
        <w:jc w:val="both"/>
        <w:rPr>
          <w:rFonts w:ascii="Times New Roman" w:hAnsi="Times New Roman"/>
          <w:b/>
          <w:bCs/>
          <w:iCs/>
        </w:rPr>
      </w:pPr>
      <w:r w:rsidRPr="003D1011">
        <w:rPr>
          <w:rFonts w:ascii="Times New Roman" w:hAnsi="Times New Roman"/>
          <w:b/>
          <w:bCs/>
        </w:rPr>
        <w:lastRenderedPageBreak/>
        <w:t>Załącznik nr 5 -</w:t>
      </w:r>
      <w:r w:rsidRPr="003D1011">
        <w:rPr>
          <w:rFonts w:ascii="Times New Roman" w:hAnsi="Times New Roman"/>
        </w:rPr>
        <w:t xml:space="preserve"> </w:t>
      </w:r>
      <w:r w:rsidRPr="003D1011">
        <w:rPr>
          <w:rFonts w:ascii="Times New Roman" w:hAnsi="Times New Roman"/>
          <w:b/>
          <w:bCs/>
          <w:iCs/>
        </w:rPr>
        <w:t>Wpływ wprowadzenia minimalnego zwrotu z kapitału dla inwestycji w źródła ciepła będące odnawialnymi źródłami energii oraz źródłami ciepła odpadowego na środowisko i budżet odbiorców oraz konwersja systemów ciepłowniczych w efektywne energetycznie systemy ciepłownicze</w:t>
      </w:r>
    </w:p>
    <w:p w14:paraId="75240CA5" w14:textId="77777777" w:rsidR="003D1011" w:rsidRPr="003D1011" w:rsidRDefault="003D1011" w:rsidP="003D1011">
      <w:pPr>
        <w:jc w:val="both"/>
        <w:rPr>
          <w:rFonts w:ascii="Times New Roman" w:hAnsi="Times New Roman"/>
          <w:b/>
          <w:bCs/>
          <w:iCs/>
        </w:rPr>
      </w:pPr>
    </w:p>
    <w:p w14:paraId="03060BBC" w14:textId="77777777" w:rsidR="003D1011" w:rsidRPr="003D1011" w:rsidRDefault="003D1011" w:rsidP="003D1011">
      <w:pPr>
        <w:jc w:val="both"/>
        <w:rPr>
          <w:rFonts w:ascii="Times New Roman" w:hAnsi="Times New Roman"/>
          <w:iCs/>
        </w:rPr>
      </w:pPr>
      <w:r w:rsidRPr="003D1011">
        <w:rPr>
          <w:rFonts w:ascii="Times New Roman" w:hAnsi="Times New Roman"/>
          <w:iCs/>
        </w:rPr>
        <w:t xml:space="preserve">Ciepło sieciowe w Polsce jest wytwarzane głównie z paliw węglowych, których udział w jego wytwarzaniu przekracza 70 %. W stosunku do roku 2002 udział ten zmniejszył się o około 10 </w:t>
      </w:r>
      <w:proofErr w:type="spellStart"/>
      <w:r w:rsidRPr="003D1011">
        <w:rPr>
          <w:rFonts w:ascii="Times New Roman" w:hAnsi="Times New Roman"/>
          <w:iCs/>
        </w:rPr>
        <w:t>p.p</w:t>
      </w:r>
      <w:proofErr w:type="spellEnd"/>
      <w:r w:rsidRPr="003D1011">
        <w:rPr>
          <w:rFonts w:ascii="Times New Roman" w:hAnsi="Times New Roman"/>
          <w:iCs/>
        </w:rPr>
        <w:t xml:space="preserve">., co można uznać za zachowanie znaczącej przewagi paliw węglowych stosowanych do wytwarzania ciepła. </w:t>
      </w:r>
    </w:p>
    <w:p w14:paraId="19FCCD18" w14:textId="77777777" w:rsidR="003D1011" w:rsidRPr="003D1011" w:rsidRDefault="003D1011" w:rsidP="003D1011">
      <w:pPr>
        <w:jc w:val="both"/>
        <w:rPr>
          <w:rFonts w:ascii="Times New Roman" w:hAnsi="Times New Roman"/>
          <w:iCs/>
        </w:rPr>
      </w:pPr>
      <w:r w:rsidRPr="003D1011">
        <w:rPr>
          <w:rFonts w:ascii="Times New Roman" w:hAnsi="Times New Roman"/>
          <w:iCs/>
        </w:rPr>
        <w:t xml:space="preserve">Udział odnawialnych źródeł energii na przestrzeni 19 lat zwiększył się zaledwie o 6,6 </w:t>
      </w:r>
      <w:proofErr w:type="spellStart"/>
      <w:r w:rsidRPr="003D1011">
        <w:rPr>
          <w:rFonts w:ascii="Times New Roman" w:hAnsi="Times New Roman"/>
          <w:iCs/>
        </w:rPr>
        <w:t>p.p</w:t>
      </w:r>
      <w:proofErr w:type="spellEnd"/>
      <w:r w:rsidRPr="003D1011">
        <w:rPr>
          <w:rFonts w:ascii="Times New Roman" w:hAnsi="Times New Roman"/>
          <w:iCs/>
        </w:rPr>
        <w:t>., co  dowodzi braku prostych i mało kosztownych rozwiązań, umożliwiających powszechne stosowanie OZE w ciepłownictwie. Należy także mieć na uwadze, że zwiększony udział OZE został spowodowany współspalaniem biomasy w jednostkach kogeneracji ze względu na możliwość skorzystania z mechanizmu wsparcia wytwarzania energii elektrycznej wytworzonej w jednostkach kogeneracji wykorzystujących OZE.</w:t>
      </w:r>
    </w:p>
    <w:p w14:paraId="1254C221" w14:textId="77777777" w:rsidR="003D1011" w:rsidRPr="003D1011" w:rsidRDefault="003D1011" w:rsidP="003D1011">
      <w:pPr>
        <w:jc w:val="both"/>
        <w:rPr>
          <w:rFonts w:ascii="Times New Roman" w:hAnsi="Times New Roman"/>
          <w:iCs/>
        </w:rPr>
      </w:pPr>
    </w:p>
    <w:p w14:paraId="58A81D24" w14:textId="77777777" w:rsidR="003D1011" w:rsidRPr="003D1011" w:rsidRDefault="003D1011" w:rsidP="003D1011">
      <w:pPr>
        <w:jc w:val="both"/>
        <w:rPr>
          <w:rFonts w:ascii="Times New Roman" w:hAnsi="Times New Roman"/>
          <w:iCs/>
        </w:rPr>
      </w:pPr>
    </w:p>
    <w:p w14:paraId="4472CDE9" w14:textId="77777777" w:rsidR="003D1011" w:rsidRPr="003D1011" w:rsidRDefault="003D1011" w:rsidP="003D1011">
      <w:pPr>
        <w:jc w:val="both"/>
        <w:rPr>
          <w:rFonts w:ascii="Times New Roman" w:hAnsi="Times New Roman"/>
          <w:i/>
        </w:rPr>
      </w:pPr>
      <w:r w:rsidRPr="003D1011">
        <w:rPr>
          <w:rFonts w:ascii="Times New Roman" w:hAnsi="Times New Roman"/>
          <w:i/>
        </w:rPr>
        <w:t>Rysunek 1. Struktura paliw stosowanych do wytwarzania ciepła w roku 2002 i 2019 oraz w 2019 r. w kogeneracji – źródło: Energetyka cieplna w liczbach</w:t>
      </w:r>
    </w:p>
    <w:p w14:paraId="035249B3" w14:textId="35180AFD"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71B51DB6" wp14:editId="5E90F656">
            <wp:extent cx="5060803" cy="310896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9186" cy="3114110"/>
                    </a:xfrm>
                    <a:prstGeom prst="rect">
                      <a:avLst/>
                    </a:prstGeom>
                    <a:noFill/>
                    <a:ln>
                      <a:noFill/>
                    </a:ln>
                  </pic:spPr>
                </pic:pic>
              </a:graphicData>
            </a:graphic>
          </wp:inline>
        </w:drawing>
      </w:r>
    </w:p>
    <w:p w14:paraId="06E21AA4" w14:textId="77777777" w:rsidR="003D1011" w:rsidRPr="003D1011" w:rsidRDefault="003D1011" w:rsidP="003D1011">
      <w:pPr>
        <w:jc w:val="both"/>
        <w:rPr>
          <w:rFonts w:ascii="Times New Roman" w:hAnsi="Times New Roman"/>
        </w:rPr>
      </w:pPr>
    </w:p>
    <w:p w14:paraId="2B24CB6A" w14:textId="1673C1F8" w:rsidR="003D1011" w:rsidRPr="003D1011" w:rsidRDefault="003D1011" w:rsidP="003D1011">
      <w:pPr>
        <w:jc w:val="both"/>
        <w:rPr>
          <w:rFonts w:ascii="Times New Roman" w:hAnsi="Times New Roman"/>
        </w:rPr>
      </w:pPr>
      <w:r w:rsidRPr="003D1011">
        <w:rPr>
          <w:rFonts w:ascii="Times New Roman" w:hAnsi="Times New Roman"/>
        </w:rPr>
        <w:t xml:space="preserve">Polska posiada potencjał dostawy ciepła sieciowego, jednak gros źródeł opalanych jest paliwami kopalnymi, z przeważającym udziałem paliw węglowych. Zmiana sposobu wytwarzania ciepła lub rodzaju paliwa w istniejącym źródle jest przedsięwzięciem kosztowym, zwłaszcza, że przy zmianie paliwa należałoby rozważać konwersję źródła wytwarzającego ciepło na źródła kogeneracyjne. </w:t>
      </w:r>
    </w:p>
    <w:p w14:paraId="3D9C7711" w14:textId="77777777" w:rsidR="003D1011" w:rsidRPr="003D1011" w:rsidRDefault="003D1011" w:rsidP="003D1011">
      <w:pPr>
        <w:jc w:val="both"/>
        <w:rPr>
          <w:rFonts w:ascii="Times New Roman" w:hAnsi="Times New Roman"/>
        </w:rPr>
      </w:pPr>
      <w:r w:rsidRPr="003D1011">
        <w:rPr>
          <w:rFonts w:ascii="Times New Roman" w:hAnsi="Times New Roman"/>
        </w:rPr>
        <w:t>Zachęta w postaci zapewnienia minimalnej, 7% stopy zwrotu z kapitału zaangażowanego w zakresie budowy, modernizacji i przyłączania źródeł ciepła będących instalacjami OZE oraz źródeł ciepła odpadowego przewidziana w ustawie – Prawo energetyczne spowoduje korzyść, zarówno na rzecz ochrony środowiska poprzez redukcje emisji spowodowanej spalaniem paliw kopalnych, a przede wszystkim węgla kamiennego, jak i da korzyść ekonomiczną dla odbiorców, bowiem redukcja kosztów emisji jest większa, niż zwiększona, ponad uznawaną aktualnie przez Prezesa URE stopę zwrotu z kapitału zaangażowanego w działalność gospodarczą wytwarzania, dystrybucji i obrotu ciepłem, która jest przenoszona w taryfie.</w:t>
      </w:r>
    </w:p>
    <w:p w14:paraId="3690A267" w14:textId="77777777" w:rsidR="003D1011" w:rsidRDefault="003D1011" w:rsidP="003D1011">
      <w:pPr>
        <w:jc w:val="both"/>
        <w:rPr>
          <w:rFonts w:ascii="Times New Roman" w:hAnsi="Times New Roman"/>
        </w:rPr>
      </w:pPr>
    </w:p>
    <w:p w14:paraId="71E4FFE3" w14:textId="77777777" w:rsidR="00411329" w:rsidRDefault="00411329" w:rsidP="003D1011">
      <w:pPr>
        <w:jc w:val="both"/>
        <w:rPr>
          <w:rFonts w:ascii="Times New Roman" w:hAnsi="Times New Roman"/>
        </w:rPr>
      </w:pPr>
    </w:p>
    <w:p w14:paraId="79399B87" w14:textId="77777777" w:rsidR="00411329" w:rsidRDefault="00411329" w:rsidP="003D1011">
      <w:pPr>
        <w:jc w:val="both"/>
        <w:rPr>
          <w:rFonts w:ascii="Times New Roman" w:hAnsi="Times New Roman"/>
        </w:rPr>
      </w:pPr>
    </w:p>
    <w:p w14:paraId="3BEB4ECB" w14:textId="77777777" w:rsidR="00411329" w:rsidRPr="003D1011" w:rsidRDefault="00411329" w:rsidP="003D1011">
      <w:pPr>
        <w:jc w:val="both"/>
        <w:rPr>
          <w:rFonts w:ascii="Times New Roman" w:hAnsi="Times New Roman"/>
        </w:rPr>
      </w:pPr>
    </w:p>
    <w:p w14:paraId="65B315B1" w14:textId="77777777" w:rsidR="003D1011" w:rsidRPr="003D1011" w:rsidRDefault="003D1011" w:rsidP="003D1011">
      <w:pPr>
        <w:jc w:val="both"/>
        <w:rPr>
          <w:rFonts w:ascii="Times New Roman" w:hAnsi="Times New Roman"/>
        </w:rPr>
      </w:pPr>
    </w:p>
    <w:p w14:paraId="2254240F" w14:textId="77777777" w:rsidR="003D1011" w:rsidRPr="003D1011" w:rsidRDefault="003D1011" w:rsidP="003D1011">
      <w:pPr>
        <w:jc w:val="both"/>
        <w:rPr>
          <w:rFonts w:ascii="Times New Roman" w:hAnsi="Times New Roman"/>
        </w:rPr>
      </w:pPr>
    </w:p>
    <w:p w14:paraId="10F8177D" w14:textId="77777777" w:rsidR="003D1011" w:rsidRPr="003D1011" w:rsidRDefault="003D1011" w:rsidP="003D1011">
      <w:pPr>
        <w:jc w:val="both"/>
        <w:rPr>
          <w:rFonts w:ascii="Times New Roman" w:hAnsi="Times New Roman"/>
        </w:rPr>
      </w:pPr>
    </w:p>
    <w:p w14:paraId="18A9C731" w14:textId="77777777" w:rsidR="003D1011" w:rsidRPr="003D1011" w:rsidRDefault="003D1011" w:rsidP="003D1011">
      <w:pPr>
        <w:jc w:val="both"/>
        <w:rPr>
          <w:rFonts w:ascii="Times New Roman" w:hAnsi="Times New Roman"/>
        </w:rPr>
      </w:pPr>
    </w:p>
    <w:p w14:paraId="444B5FCB" w14:textId="77777777" w:rsidR="003D1011" w:rsidRPr="003D1011" w:rsidRDefault="003D1011" w:rsidP="003D1011">
      <w:pPr>
        <w:jc w:val="both"/>
        <w:rPr>
          <w:rFonts w:ascii="Times New Roman" w:hAnsi="Times New Roman"/>
        </w:rPr>
      </w:pPr>
    </w:p>
    <w:p w14:paraId="1AA6C30B" w14:textId="77777777" w:rsidR="003D1011" w:rsidRPr="003D1011" w:rsidRDefault="003D1011" w:rsidP="003D1011">
      <w:pPr>
        <w:jc w:val="both"/>
        <w:rPr>
          <w:rFonts w:ascii="Times New Roman" w:hAnsi="Times New Roman"/>
          <w:i/>
        </w:rPr>
      </w:pPr>
      <w:r w:rsidRPr="003D1011">
        <w:rPr>
          <w:rFonts w:ascii="Times New Roman" w:hAnsi="Times New Roman"/>
          <w:i/>
        </w:rPr>
        <w:lastRenderedPageBreak/>
        <w:t>Tabela 1. Dziesięcioletni okres inwestycji w źródła ciepła OZE oraz prognozowane zmniejszenie emisji kosztów dwutlenku węgla oraz zmniejszenie opłat odbiorców wynikające z przewagi unikniętych kosztów nad zwiększeniem zwrotu z kapitału</w:t>
      </w:r>
    </w:p>
    <w:p w14:paraId="0A953DBD" w14:textId="527B644F"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4C41B5D8" wp14:editId="7F49EFA4">
            <wp:extent cx="6654165" cy="481901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54165" cy="4819015"/>
                    </a:xfrm>
                    <a:prstGeom prst="rect">
                      <a:avLst/>
                    </a:prstGeom>
                    <a:noFill/>
                    <a:ln>
                      <a:noFill/>
                    </a:ln>
                  </pic:spPr>
                </pic:pic>
              </a:graphicData>
            </a:graphic>
          </wp:inline>
        </w:drawing>
      </w:r>
    </w:p>
    <w:p w14:paraId="0FB72787" w14:textId="77777777" w:rsidR="003D1011" w:rsidRPr="003D1011" w:rsidRDefault="003D1011" w:rsidP="003D1011">
      <w:pPr>
        <w:jc w:val="both"/>
        <w:rPr>
          <w:rFonts w:ascii="Times New Roman" w:hAnsi="Times New Roman"/>
          <w:i/>
        </w:rPr>
      </w:pPr>
      <w:r w:rsidRPr="003D1011">
        <w:rPr>
          <w:rFonts w:ascii="Times New Roman" w:hAnsi="Times New Roman"/>
          <w:i/>
        </w:rPr>
        <w:t>Rysunek 2. Redukcja emisji wynikająca z inwestycji w źródła ciepła OZE lub źródła ciepła odpadowego oraz bilans zwiększonego kosztu kapitału w relacji z unikniętymi kosztami emisji</w:t>
      </w:r>
    </w:p>
    <w:p w14:paraId="007429DB" w14:textId="1B346AAA" w:rsidR="003D1011" w:rsidRPr="003D1011" w:rsidRDefault="00F63B94" w:rsidP="003D1011">
      <w:pPr>
        <w:jc w:val="both"/>
        <w:rPr>
          <w:rFonts w:ascii="Times New Roman" w:hAnsi="Times New Roman"/>
        </w:rPr>
      </w:pPr>
      <w:r>
        <w:rPr>
          <w:noProof/>
          <w:lang w:eastAsia="pl-PL"/>
        </w:rPr>
        <w:drawing>
          <wp:inline distT="0" distB="0" distL="0" distR="0" wp14:anchorId="44ECC171" wp14:editId="023720C1">
            <wp:extent cx="6654165" cy="3388995"/>
            <wp:effectExtent l="0" t="0" r="13335" b="1905"/>
            <wp:docPr id="14" name="Wykres 14">
              <a:extLst xmlns:a="http://schemas.openxmlformats.org/drawingml/2006/main">
                <a:ext uri="{FF2B5EF4-FFF2-40B4-BE49-F238E27FC236}">
                  <a16:creationId xmlns:a16="http://schemas.microsoft.com/office/drawing/2014/main" id="{620037F9-737C-4F70-88BD-C9DCCC6E5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7678CD" w14:textId="77777777" w:rsidR="003D1011" w:rsidRPr="003D1011" w:rsidRDefault="003D1011" w:rsidP="003D1011">
      <w:pPr>
        <w:jc w:val="both"/>
        <w:rPr>
          <w:rFonts w:ascii="Times New Roman" w:hAnsi="Times New Roman"/>
        </w:rPr>
      </w:pPr>
    </w:p>
    <w:p w14:paraId="098D6A09" w14:textId="77777777" w:rsidR="00F63B94" w:rsidRDefault="00F63B94" w:rsidP="003D1011">
      <w:pPr>
        <w:jc w:val="both"/>
        <w:rPr>
          <w:rFonts w:ascii="Times New Roman" w:hAnsi="Times New Roman"/>
          <w:b/>
          <w:bCs/>
        </w:rPr>
      </w:pPr>
    </w:p>
    <w:p w14:paraId="1129A288" w14:textId="7A4727BE" w:rsidR="00F63B94" w:rsidRDefault="00F63B94" w:rsidP="003D1011">
      <w:pPr>
        <w:jc w:val="both"/>
        <w:rPr>
          <w:rFonts w:ascii="Times New Roman" w:hAnsi="Times New Roman"/>
          <w:b/>
          <w:bCs/>
        </w:rPr>
      </w:pPr>
    </w:p>
    <w:p w14:paraId="16CC9073" w14:textId="77777777" w:rsidR="00BF0F4C" w:rsidRDefault="00BF0F4C" w:rsidP="003D1011">
      <w:pPr>
        <w:jc w:val="both"/>
        <w:rPr>
          <w:rFonts w:ascii="Times New Roman" w:hAnsi="Times New Roman"/>
          <w:b/>
          <w:bCs/>
        </w:rPr>
      </w:pPr>
    </w:p>
    <w:p w14:paraId="7304F376" w14:textId="77777777" w:rsidR="003D1011" w:rsidRPr="003D1011" w:rsidRDefault="003D1011" w:rsidP="003D1011">
      <w:pPr>
        <w:jc w:val="both"/>
        <w:rPr>
          <w:rFonts w:ascii="Times New Roman" w:hAnsi="Times New Roman"/>
          <w:b/>
          <w:bCs/>
        </w:rPr>
      </w:pPr>
      <w:r w:rsidRPr="003D1011">
        <w:rPr>
          <w:rFonts w:ascii="Times New Roman" w:hAnsi="Times New Roman"/>
          <w:b/>
          <w:bCs/>
        </w:rPr>
        <w:lastRenderedPageBreak/>
        <w:t xml:space="preserve">Nieefektywne energetycznie systemy ciepłownicze lub chłodnicze </w:t>
      </w:r>
    </w:p>
    <w:p w14:paraId="1FFCFAE6" w14:textId="77777777" w:rsidR="003D1011" w:rsidRPr="003D1011" w:rsidRDefault="003D1011" w:rsidP="003D1011">
      <w:pPr>
        <w:jc w:val="both"/>
        <w:rPr>
          <w:rFonts w:ascii="Times New Roman" w:hAnsi="Times New Roman"/>
          <w:b/>
          <w:bCs/>
        </w:rPr>
      </w:pPr>
    </w:p>
    <w:p w14:paraId="47321BE7" w14:textId="77777777" w:rsidR="003D1011" w:rsidRPr="003D1011" w:rsidRDefault="003D1011" w:rsidP="003D1011">
      <w:pPr>
        <w:jc w:val="both"/>
        <w:rPr>
          <w:rFonts w:ascii="Times New Roman" w:hAnsi="Times New Roman"/>
        </w:rPr>
      </w:pPr>
      <w:r w:rsidRPr="003D1011">
        <w:rPr>
          <w:rFonts w:ascii="Times New Roman" w:hAnsi="Times New Roman"/>
        </w:rPr>
        <w:t>W kwietniu 2018 roku Izba Gospodarcza Ciepłownictwo Polskie, na prośbę Ministerstwa Energii, przeprowadziła wśród zrzeszonych w niej przedsiębiorstw ciepłowniczych badanie, na podstawie którego stwierdzono, że na 255 systemów ciepłowniczych eksploatowanych przez członków Izby (na łączną liczbę 412 koncesjonowanych przedsiębiorstw ciepłowniczych - wg stanu na dzień 31 grudnia 2017 r.), które obejmują około 85% ogólnego wolumenu ilości ciepła dostarczanego z systemów ciepłowniczych w Polsce, tylko ok. 20% spełnia kryterium efektywnego energetycznie systemu ciepłowniczego lub chłodniczego. Ten stan generalnie nie zmienił się do 2021 r.</w:t>
      </w:r>
    </w:p>
    <w:p w14:paraId="6865384B" w14:textId="77777777" w:rsidR="003D1011" w:rsidRPr="003D1011" w:rsidRDefault="003D1011" w:rsidP="003D1011">
      <w:pPr>
        <w:jc w:val="both"/>
        <w:rPr>
          <w:rFonts w:ascii="Times New Roman" w:hAnsi="Times New Roman"/>
        </w:rPr>
      </w:pPr>
    </w:p>
    <w:p w14:paraId="0E2D8B1D"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2. Produkcja i rozdysponowanie wytworzonego ciepła w 2018 i 2019 r. wg: Energetyka cieplna w liczbach</w:t>
      </w:r>
    </w:p>
    <w:p w14:paraId="043E804D" w14:textId="20254B5A"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1E3C1B4E" wp14:editId="4B809D74">
            <wp:extent cx="6654165" cy="12750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54165" cy="1275080"/>
                    </a:xfrm>
                    <a:prstGeom prst="rect">
                      <a:avLst/>
                    </a:prstGeom>
                    <a:noFill/>
                    <a:ln>
                      <a:noFill/>
                    </a:ln>
                  </pic:spPr>
                </pic:pic>
              </a:graphicData>
            </a:graphic>
          </wp:inline>
        </w:drawing>
      </w:r>
    </w:p>
    <w:p w14:paraId="6CCCB641" w14:textId="77777777" w:rsidR="003D1011" w:rsidRPr="003D1011" w:rsidRDefault="003D1011" w:rsidP="003D1011">
      <w:pPr>
        <w:jc w:val="both"/>
        <w:rPr>
          <w:rFonts w:ascii="Times New Roman" w:hAnsi="Times New Roman"/>
        </w:rPr>
      </w:pPr>
      <w:r w:rsidRPr="003D1011">
        <w:rPr>
          <w:rFonts w:ascii="Times New Roman" w:hAnsi="Times New Roman"/>
        </w:rPr>
        <w:t>W 2019 r. udział ciepła z kogeneracji wynosił 65 %. produkcji ciepła ogółem i wzrósł o 1,5 punktu procentowego w stosunku do roku 2018. Jednak należy zwrócić uwagę na fakt, że systemy ciepłownicze, które znajdują się w grupie spełniających kryterium efektywnego energetycznie systemu ciepłowniczego lub chłodniczego, to systemy dostarczające ciepło odbiorcom w największych miastach Polski i najczęściej status efektywnego systemu ciepłowniczego jest uzyskiwany ze względu na źródła kogeneracyjne opalane paliwami węglowymi. Dane z załączonych poniżej tabel wskazują na przewagę paliw kopalnych w procesie wytwarzania ciepła.</w:t>
      </w:r>
    </w:p>
    <w:p w14:paraId="0478C2DE" w14:textId="77777777" w:rsidR="003D1011" w:rsidRPr="003D1011" w:rsidRDefault="003D1011" w:rsidP="003D1011">
      <w:pPr>
        <w:jc w:val="both"/>
        <w:rPr>
          <w:rFonts w:ascii="Times New Roman" w:hAnsi="Times New Roman"/>
        </w:rPr>
      </w:pPr>
    </w:p>
    <w:p w14:paraId="27D87DD1"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3. Produkcja ciepła z różnych rodzajów paliw w 2018 i 2019 r. na podstawie: Energetyka cieplna w liczbach</w:t>
      </w:r>
    </w:p>
    <w:p w14:paraId="375F731F" w14:textId="6531E3C1"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02F03D28" wp14:editId="141E305C">
            <wp:extent cx="6654165" cy="1244600"/>
            <wp:effectExtent l="19050" t="19050" r="13335" b="1270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54165" cy="1244600"/>
                    </a:xfrm>
                    <a:prstGeom prst="rect">
                      <a:avLst/>
                    </a:prstGeom>
                    <a:noFill/>
                    <a:ln w="15875" cmpd="sng">
                      <a:solidFill>
                        <a:srgbClr val="000000"/>
                      </a:solidFill>
                      <a:miter lim="800000"/>
                      <a:headEnd/>
                      <a:tailEnd/>
                    </a:ln>
                    <a:effectLst/>
                  </pic:spPr>
                </pic:pic>
              </a:graphicData>
            </a:graphic>
          </wp:inline>
        </w:drawing>
      </w:r>
    </w:p>
    <w:p w14:paraId="63D04EF1" w14:textId="77777777" w:rsidR="003D1011" w:rsidRPr="003D1011" w:rsidRDefault="003D1011" w:rsidP="003D1011">
      <w:pPr>
        <w:jc w:val="both"/>
        <w:rPr>
          <w:rFonts w:ascii="Times New Roman" w:hAnsi="Times New Roman"/>
        </w:rPr>
      </w:pPr>
      <w:r w:rsidRPr="003D1011">
        <w:rPr>
          <w:rFonts w:ascii="Times New Roman" w:hAnsi="Times New Roman"/>
        </w:rPr>
        <w:t>Zaproponowane w niniejszej ustawie zmiany mają na celu zwiększenie udziału efektywnych systemów ciepłowniczych z ukierunkowaniem na kryterium 50% udziału energii z odnawialnych źródeł energii (w tym ciepła), bowiem pomimo poprawy wskaźników emisyjności stosowane paliwo węglowe i inne paliwa kopalne nie sprostają wyznaczonym celom emisyjności źródeł.</w:t>
      </w:r>
    </w:p>
    <w:p w14:paraId="497155DB" w14:textId="77777777" w:rsidR="003D1011" w:rsidRPr="003D1011" w:rsidRDefault="003D1011" w:rsidP="003D1011">
      <w:pPr>
        <w:jc w:val="both"/>
        <w:rPr>
          <w:rFonts w:ascii="Times New Roman" w:hAnsi="Times New Roman"/>
        </w:rPr>
      </w:pPr>
    </w:p>
    <w:p w14:paraId="1BF79863" w14:textId="77777777" w:rsidR="003D1011" w:rsidRPr="003D1011" w:rsidRDefault="003D1011" w:rsidP="003D1011">
      <w:pPr>
        <w:jc w:val="both"/>
        <w:rPr>
          <w:rFonts w:ascii="Times New Roman" w:hAnsi="Times New Roman"/>
          <w:i/>
          <w:iCs/>
        </w:rPr>
      </w:pPr>
      <w:r w:rsidRPr="003D1011">
        <w:rPr>
          <w:rFonts w:ascii="Times New Roman" w:hAnsi="Times New Roman"/>
          <w:i/>
          <w:iCs/>
        </w:rPr>
        <w:t>Tabela 4. Wskaźniki techniczne ciepłownictwa na podstawie: Energetyka cieplna w liczbach</w:t>
      </w:r>
    </w:p>
    <w:p w14:paraId="049DE20A" w14:textId="0AA241A6" w:rsidR="003D1011" w:rsidRPr="003D1011" w:rsidRDefault="003D1011" w:rsidP="003D1011">
      <w:pPr>
        <w:jc w:val="both"/>
        <w:rPr>
          <w:rFonts w:ascii="Times New Roman" w:hAnsi="Times New Roman"/>
        </w:rPr>
      </w:pPr>
      <w:r w:rsidRPr="003D1011">
        <w:rPr>
          <w:rFonts w:ascii="Times New Roman" w:hAnsi="Times New Roman"/>
          <w:noProof/>
          <w:lang w:eastAsia="pl-PL"/>
        </w:rPr>
        <w:drawing>
          <wp:inline distT="0" distB="0" distL="0" distR="0" wp14:anchorId="5566D563" wp14:editId="040D3B22">
            <wp:extent cx="6654165" cy="14617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54165" cy="1461770"/>
                    </a:xfrm>
                    <a:prstGeom prst="rect">
                      <a:avLst/>
                    </a:prstGeom>
                    <a:noFill/>
                    <a:ln>
                      <a:noFill/>
                    </a:ln>
                  </pic:spPr>
                </pic:pic>
              </a:graphicData>
            </a:graphic>
          </wp:inline>
        </w:drawing>
      </w:r>
    </w:p>
    <w:p w14:paraId="37F54577" w14:textId="77777777" w:rsidR="003D1011" w:rsidRPr="003D1011" w:rsidRDefault="003D1011" w:rsidP="003D1011">
      <w:pPr>
        <w:jc w:val="both"/>
        <w:rPr>
          <w:rFonts w:ascii="Times New Roman" w:hAnsi="Times New Roman"/>
        </w:rPr>
      </w:pPr>
      <w:r w:rsidRPr="003D1011">
        <w:rPr>
          <w:rFonts w:ascii="Times New Roman" w:hAnsi="Times New Roman"/>
        </w:rPr>
        <w:t>Należy zwrócić uwagę na fakt, że powyższa tabela uwzględnia uśrednione wskaźniki dla wszystkich źródeł. Na poprawę tych wskaźników podstawowy wpływ mają duże źródła, które dokonały już ograniczenia emisyjności. Poważnym problem z ograniczeniem emisyjności będą miały źródła z obszaru non-ETS stosujące paliwa kopalne.</w:t>
      </w:r>
    </w:p>
    <w:p w14:paraId="5776CA09" w14:textId="77777777" w:rsidR="003D1011" w:rsidRPr="003D1011" w:rsidRDefault="003D1011" w:rsidP="003D1011">
      <w:pPr>
        <w:jc w:val="both"/>
        <w:rPr>
          <w:rFonts w:ascii="Times New Roman" w:hAnsi="Times New Roman"/>
        </w:rPr>
      </w:pPr>
    </w:p>
    <w:p w14:paraId="2DBB5883" w14:textId="35649439" w:rsidR="003D1011" w:rsidRPr="00687093" w:rsidRDefault="003D1011" w:rsidP="00282CF3">
      <w:pPr>
        <w:jc w:val="both"/>
        <w:rPr>
          <w:rFonts w:ascii="Times New Roman" w:hAnsi="Times New Roman"/>
        </w:rPr>
      </w:pPr>
    </w:p>
    <w:sectPr w:rsidR="003D1011" w:rsidRPr="00687093" w:rsidSect="00214A30">
      <w:type w:val="continuous"/>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6FEC" w14:textId="77777777" w:rsidR="0042778E" w:rsidRDefault="0042778E" w:rsidP="00044739">
      <w:pPr>
        <w:spacing w:line="240" w:lineRule="auto"/>
      </w:pPr>
      <w:r>
        <w:separator/>
      </w:r>
    </w:p>
  </w:endnote>
  <w:endnote w:type="continuationSeparator" w:id="0">
    <w:p w14:paraId="18A1D6DE" w14:textId="77777777" w:rsidR="0042778E" w:rsidRDefault="0042778E" w:rsidP="00044739">
      <w:pPr>
        <w:spacing w:line="240" w:lineRule="auto"/>
      </w:pPr>
      <w:r>
        <w:continuationSeparator/>
      </w:r>
    </w:p>
  </w:endnote>
  <w:endnote w:type="continuationNotice" w:id="1">
    <w:p w14:paraId="491F813F" w14:textId="77777777" w:rsidR="0042778E" w:rsidRDefault="004277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cumin Pro Condensed Medium">
    <w:altName w:val="Acumin Pro Condensed Medium"/>
    <w:panose1 w:val="00000000000000000000"/>
    <w:charset w:val="EE"/>
    <w:family w:val="swiss"/>
    <w:notTrueType/>
    <w:pitch w:val="default"/>
    <w:sig w:usb0="00000005" w:usb1="00000000" w:usb2="00000000" w:usb3="00000000" w:csb0="00000002"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89DE" w14:textId="77777777" w:rsidR="0042778E" w:rsidRDefault="0042778E" w:rsidP="00044739">
      <w:pPr>
        <w:spacing w:line="240" w:lineRule="auto"/>
      </w:pPr>
      <w:r>
        <w:separator/>
      </w:r>
    </w:p>
  </w:footnote>
  <w:footnote w:type="continuationSeparator" w:id="0">
    <w:p w14:paraId="1E3DE826" w14:textId="77777777" w:rsidR="0042778E" w:rsidRDefault="0042778E" w:rsidP="00044739">
      <w:pPr>
        <w:spacing w:line="240" w:lineRule="auto"/>
      </w:pPr>
      <w:r>
        <w:continuationSeparator/>
      </w:r>
    </w:p>
  </w:footnote>
  <w:footnote w:type="continuationNotice" w:id="1">
    <w:p w14:paraId="3B30C095" w14:textId="77777777" w:rsidR="0042778E" w:rsidRDefault="0042778E">
      <w:pPr>
        <w:spacing w:line="240" w:lineRule="auto"/>
      </w:pPr>
    </w:p>
  </w:footnote>
  <w:footnote w:id="2">
    <w:p w14:paraId="244DB03D" w14:textId="77777777" w:rsidR="00EB3D13" w:rsidRPr="00F501A2" w:rsidRDefault="00EB3D13" w:rsidP="00ED3780">
      <w:pPr>
        <w:pStyle w:val="Tekstprzypisudolnego"/>
        <w:rPr>
          <w:rFonts w:ascii="Times New Roman" w:hAnsi="Times New Roman"/>
          <w:sz w:val="18"/>
          <w:szCs w:val="18"/>
        </w:rPr>
      </w:pPr>
      <w:r w:rsidRPr="00F501A2">
        <w:rPr>
          <w:rStyle w:val="Odwoanieprzypisudolnego"/>
          <w:rFonts w:ascii="Times New Roman" w:hAnsi="Times New Roman"/>
          <w:sz w:val="18"/>
          <w:szCs w:val="18"/>
        </w:rPr>
        <w:footnoteRef/>
      </w:r>
      <w:r w:rsidRPr="00F501A2">
        <w:rPr>
          <w:rFonts w:ascii="Times New Roman" w:hAnsi="Times New Roman"/>
          <w:sz w:val="18"/>
          <w:szCs w:val="18"/>
        </w:rPr>
        <w:t xml:space="preserve"> https://cng-lng.pl/wiadomosci/W-2019-r.-w-UE-przybylo-blisko-90-tys.-pojazdow-CNG-i-LNG,wiadomosc,9895.html</w:t>
      </w:r>
    </w:p>
  </w:footnote>
  <w:footnote w:id="3">
    <w:p w14:paraId="0154B688" w14:textId="77777777" w:rsidR="00EB3D13" w:rsidRPr="00F501A2" w:rsidRDefault="00EB3D13" w:rsidP="001C24CF">
      <w:pPr>
        <w:ind w:left="567"/>
        <w:rPr>
          <w:rFonts w:ascii="Times New Roman" w:hAnsi="Times New Roman"/>
          <w:color w:val="000000"/>
          <w:sz w:val="18"/>
          <w:szCs w:val="18"/>
          <w:lang w:eastAsia="pl-PL"/>
        </w:rPr>
      </w:pPr>
      <w:r w:rsidRPr="00F501A2">
        <w:rPr>
          <w:rStyle w:val="Odwoanieprzypisudolnego"/>
          <w:rFonts w:ascii="Times New Roman" w:hAnsi="Times New Roman"/>
          <w:sz w:val="18"/>
          <w:szCs w:val="18"/>
        </w:rPr>
        <w:footnoteRef/>
      </w:r>
      <w:r w:rsidRPr="00F501A2">
        <w:rPr>
          <w:rFonts w:ascii="Times New Roman" w:hAnsi="Times New Roman"/>
          <w:sz w:val="18"/>
          <w:szCs w:val="18"/>
        </w:rPr>
        <w:t xml:space="preserve"> Raport UOKiK – odpady w gminach miejskich: </w:t>
      </w:r>
      <w:hyperlink r:id="rId1" w:history="1">
        <w:r w:rsidRPr="00F501A2">
          <w:rPr>
            <w:rStyle w:val="Hipercze"/>
            <w:rFonts w:ascii="Times New Roman" w:hAnsi="Times New Roman"/>
            <w:sz w:val="18"/>
            <w:szCs w:val="18"/>
            <w:lang w:eastAsia="pl-PL"/>
          </w:rPr>
          <w:t>https://www.uokik.gov.pl/aktualnosci.php?news_id=15715</w:t>
        </w:r>
      </w:hyperlink>
    </w:p>
    <w:p w14:paraId="29EB36A1" w14:textId="77777777" w:rsidR="00EB3D13" w:rsidRPr="00F501A2" w:rsidRDefault="00EB3D13" w:rsidP="001C24CF">
      <w:pPr>
        <w:pStyle w:val="Tekstprzypisudolnego"/>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15:restartNumberingAfterBreak="0">
    <w:nsid w:val="00F318FB"/>
    <w:multiLevelType w:val="hybridMultilevel"/>
    <w:tmpl w:val="FD52E41E"/>
    <w:lvl w:ilvl="0" w:tplc="D8663B74">
      <w:start w:val="1"/>
      <w:numFmt w:val="decimal"/>
      <w:lvlText w:val="%1)"/>
      <w:lvlJc w:val="left"/>
      <w:pPr>
        <w:tabs>
          <w:tab w:val="num" w:pos="720"/>
        </w:tabs>
        <w:ind w:left="720" w:hanging="360"/>
      </w:pPr>
    </w:lvl>
    <w:lvl w:ilvl="1" w:tplc="1D36FA9A" w:tentative="1">
      <w:start w:val="1"/>
      <w:numFmt w:val="decimal"/>
      <w:lvlText w:val="%2)"/>
      <w:lvlJc w:val="left"/>
      <w:pPr>
        <w:tabs>
          <w:tab w:val="num" w:pos="1440"/>
        </w:tabs>
        <w:ind w:left="1440" w:hanging="360"/>
      </w:pPr>
    </w:lvl>
    <w:lvl w:ilvl="2" w:tplc="A6A6BA96" w:tentative="1">
      <w:start w:val="1"/>
      <w:numFmt w:val="decimal"/>
      <w:lvlText w:val="%3)"/>
      <w:lvlJc w:val="left"/>
      <w:pPr>
        <w:tabs>
          <w:tab w:val="num" w:pos="2160"/>
        </w:tabs>
        <w:ind w:left="2160" w:hanging="360"/>
      </w:pPr>
    </w:lvl>
    <w:lvl w:ilvl="3" w:tplc="927E771C" w:tentative="1">
      <w:start w:val="1"/>
      <w:numFmt w:val="decimal"/>
      <w:lvlText w:val="%4)"/>
      <w:lvlJc w:val="left"/>
      <w:pPr>
        <w:tabs>
          <w:tab w:val="num" w:pos="2880"/>
        </w:tabs>
        <w:ind w:left="2880" w:hanging="360"/>
      </w:pPr>
    </w:lvl>
    <w:lvl w:ilvl="4" w:tplc="084213E6" w:tentative="1">
      <w:start w:val="1"/>
      <w:numFmt w:val="decimal"/>
      <w:lvlText w:val="%5)"/>
      <w:lvlJc w:val="left"/>
      <w:pPr>
        <w:tabs>
          <w:tab w:val="num" w:pos="3600"/>
        </w:tabs>
        <w:ind w:left="3600" w:hanging="360"/>
      </w:pPr>
    </w:lvl>
    <w:lvl w:ilvl="5" w:tplc="9DFAE862" w:tentative="1">
      <w:start w:val="1"/>
      <w:numFmt w:val="decimal"/>
      <w:lvlText w:val="%6)"/>
      <w:lvlJc w:val="left"/>
      <w:pPr>
        <w:tabs>
          <w:tab w:val="num" w:pos="4320"/>
        </w:tabs>
        <w:ind w:left="4320" w:hanging="360"/>
      </w:pPr>
    </w:lvl>
    <w:lvl w:ilvl="6" w:tplc="8CD8D1E8" w:tentative="1">
      <w:start w:val="1"/>
      <w:numFmt w:val="decimal"/>
      <w:lvlText w:val="%7)"/>
      <w:lvlJc w:val="left"/>
      <w:pPr>
        <w:tabs>
          <w:tab w:val="num" w:pos="5040"/>
        </w:tabs>
        <w:ind w:left="5040" w:hanging="360"/>
      </w:pPr>
    </w:lvl>
    <w:lvl w:ilvl="7" w:tplc="2ABA7810" w:tentative="1">
      <w:start w:val="1"/>
      <w:numFmt w:val="decimal"/>
      <w:lvlText w:val="%8)"/>
      <w:lvlJc w:val="left"/>
      <w:pPr>
        <w:tabs>
          <w:tab w:val="num" w:pos="5760"/>
        </w:tabs>
        <w:ind w:left="5760" w:hanging="360"/>
      </w:pPr>
    </w:lvl>
    <w:lvl w:ilvl="8" w:tplc="7B38ABCE" w:tentative="1">
      <w:start w:val="1"/>
      <w:numFmt w:val="decimal"/>
      <w:lvlText w:val="%9)"/>
      <w:lvlJc w:val="left"/>
      <w:pPr>
        <w:tabs>
          <w:tab w:val="num" w:pos="6480"/>
        </w:tabs>
        <w:ind w:left="6480" w:hanging="360"/>
      </w:pPr>
    </w:lvl>
  </w:abstractNum>
  <w:abstractNum w:abstractNumId="1" w15:restartNumberingAfterBreak="0">
    <w:nsid w:val="01CC1FD2"/>
    <w:multiLevelType w:val="hybridMultilevel"/>
    <w:tmpl w:val="88ACD268"/>
    <w:lvl w:ilvl="0" w:tplc="6D0CC86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D5E5F"/>
    <w:multiLevelType w:val="multilevel"/>
    <w:tmpl w:val="8150736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EC2710"/>
    <w:multiLevelType w:val="multilevel"/>
    <w:tmpl w:val="59629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9185C"/>
    <w:multiLevelType w:val="hybridMultilevel"/>
    <w:tmpl w:val="A036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E4014"/>
    <w:multiLevelType w:val="hybridMultilevel"/>
    <w:tmpl w:val="F4680208"/>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9706D"/>
    <w:multiLevelType w:val="hybridMultilevel"/>
    <w:tmpl w:val="B4FEED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6D9690E"/>
    <w:multiLevelType w:val="hybridMultilevel"/>
    <w:tmpl w:val="1B4A6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8A4DD2"/>
    <w:multiLevelType w:val="hybridMultilevel"/>
    <w:tmpl w:val="8880244A"/>
    <w:lvl w:ilvl="0" w:tplc="A5CADF0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F3C87"/>
    <w:multiLevelType w:val="hybridMultilevel"/>
    <w:tmpl w:val="9F1A3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F4BE2"/>
    <w:multiLevelType w:val="hybridMultilevel"/>
    <w:tmpl w:val="AF3C3EC4"/>
    <w:lvl w:ilvl="0" w:tplc="A43078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5E59EC"/>
    <w:multiLevelType w:val="hybridMultilevel"/>
    <w:tmpl w:val="02DCEF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B1E1F35"/>
    <w:multiLevelType w:val="hybridMultilevel"/>
    <w:tmpl w:val="F14E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8789E"/>
    <w:multiLevelType w:val="hybridMultilevel"/>
    <w:tmpl w:val="39FA974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D5D513A"/>
    <w:multiLevelType w:val="hybridMultilevel"/>
    <w:tmpl w:val="E5A2FEE4"/>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04148"/>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F0871"/>
    <w:multiLevelType w:val="hybridMultilevel"/>
    <w:tmpl w:val="030669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2C53BC8"/>
    <w:multiLevelType w:val="hybridMultilevel"/>
    <w:tmpl w:val="CD7E0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E5095"/>
    <w:multiLevelType w:val="hybridMultilevel"/>
    <w:tmpl w:val="BD668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2" w15:restartNumberingAfterBreak="0">
    <w:nsid w:val="15B32558"/>
    <w:multiLevelType w:val="hybridMultilevel"/>
    <w:tmpl w:val="E8406356"/>
    <w:lvl w:ilvl="0" w:tplc="36C4459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904553"/>
    <w:multiLevelType w:val="hybridMultilevel"/>
    <w:tmpl w:val="801C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4C737F"/>
    <w:multiLevelType w:val="hybridMultilevel"/>
    <w:tmpl w:val="4582D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7E72A7"/>
    <w:multiLevelType w:val="hybridMultilevel"/>
    <w:tmpl w:val="5978A8D6"/>
    <w:lvl w:ilvl="0" w:tplc="57DAA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333E3"/>
    <w:multiLevelType w:val="hybridMultilevel"/>
    <w:tmpl w:val="8BEC7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9186144"/>
    <w:multiLevelType w:val="hybridMultilevel"/>
    <w:tmpl w:val="974A8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4B7734"/>
    <w:multiLevelType w:val="hybridMultilevel"/>
    <w:tmpl w:val="84701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75753"/>
    <w:multiLevelType w:val="hybridMultilevel"/>
    <w:tmpl w:val="CC5ED980"/>
    <w:lvl w:ilvl="0" w:tplc="14E2A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B67F06"/>
    <w:multiLevelType w:val="hybridMultilevel"/>
    <w:tmpl w:val="7B249FFA"/>
    <w:lvl w:ilvl="0" w:tplc="5430418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A903724"/>
    <w:multiLevelType w:val="hybridMultilevel"/>
    <w:tmpl w:val="213A2EC4"/>
    <w:lvl w:ilvl="0" w:tplc="154A13E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FB3DF6"/>
    <w:multiLevelType w:val="hybridMultilevel"/>
    <w:tmpl w:val="0712A8E4"/>
    <w:lvl w:ilvl="0" w:tplc="04150017">
      <w:start w:val="1"/>
      <w:numFmt w:val="lowerLetter"/>
      <w:lvlText w:val="%1)"/>
      <w:lvlJc w:val="left"/>
      <w:pPr>
        <w:ind w:left="1206" w:hanging="360"/>
      </w:pPr>
    </w:lvl>
    <w:lvl w:ilvl="1" w:tplc="04150011">
      <w:start w:val="1"/>
      <w:numFmt w:val="decimal"/>
      <w:lvlText w:val="%2)"/>
      <w:lvlJc w:val="left"/>
      <w:pPr>
        <w:ind w:left="1926" w:hanging="360"/>
      </w:pPr>
    </w:lvl>
    <w:lvl w:ilvl="2" w:tplc="9F04CD02">
      <w:start w:val="1"/>
      <w:numFmt w:val="decimal"/>
      <w:lvlText w:val="%3."/>
      <w:lvlJc w:val="left"/>
      <w:pPr>
        <w:ind w:left="2826" w:hanging="360"/>
      </w:pPr>
      <w:rPr>
        <w:rFonts w:hint="default"/>
      </w:r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3" w15:restartNumberingAfterBreak="0">
    <w:nsid w:val="1C6B5CB2"/>
    <w:multiLevelType w:val="hybridMultilevel"/>
    <w:tmpl w:val="C3E85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9F14B8"/>
    <w:multiLevelType w:val="hybridMultilevel"/>
    <w:tmpl w:val="08AAA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2E0CD2"/>
    <w:multiLevelType w:val="hybridMultilevel"/>
    <w:tmpl w:val="2C6EC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F4E2502"/>
    <w:multiLevelType w:val="hybridMultilevel"/>
    <w:tmpl w:val="F5EE2B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0133C61"/>
    <w:multiLevelType w:val="hybridMultilevel"/>
    <w:tmpl w:val="3C56437A"/>
    <w:lvl w:ilvl="0" w:tplc="F620D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8F3CF5"/>
    <w:multiLevelType w:val="hybridMultilevel"/>
    <w:tmpl w:val="9DFA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87A1B"/>
    <w:multiLevelType w:val="hybridMultilevel"/>
    <w:tmpl w:val="AD9A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352275"/>
    <w:multiLevelType w:val="hybridMultilevel"/>
    <w:tmpl w:val="17568AE6"/>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3" w15:restartNumberingAfterBreak="0">
    <w:nsid w:val="214461FB"/>
    <w:multiLevelType w:val="hybridMultilevel"/>
    <w:tmpl w:val="2C5E7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2042ACF"/>
    <w:multiLevelType w:val="hybridMultilevel"/>
    <w:tmpl w:val="1578D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455FD5"/>
    <w:multiLevelType w:val="hybridMultilevel"/>
    <w:tmpl w:val="4D4E01F0"/>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48" w15:restartNumberingAfterBreak="0">
    <w:nsid w:val="24A166D7"/>
    <w:multiLevelType w:val="hybridMultilevel"/>
    <w:tmpl w:val="15D62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016012"/>
    <w:multiLevelType w:val="multilevel"/>
    <w:tmpl w:val="9B4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610756F"/>
    <w:multiLevelType w:val="hybridMultilevel"/>
    <w:tmpl w:val="0668066C"/>
    <w:lvl w:ilvl="0" w:tplc="CD6A14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715795B"/>
    <w:multiLevelType w:val="hybridMultilevel"/>
    <w:tmpl w:val="E566300E"/>
    <w:lvl w:ilvl="0" w:tplc="0415000F">
      <w:start w:val="1"/>
      <w:numFmt w:val="decimal"/>
      <w:lvlText w:val="%1."/>
      <w:lvlJc w:val="left"/>
      <w:pPr>
        <w:ind w:left="1757" w:hanging="360"/>
      </w:pPr>
    </w:lvl>
    <w:lvl w:ilvl="1" w:tplc="04150019" w:tentative="1">
      <w:start w:val="1"/>
      <w:numFmt w:val="lowerLetter"/>
      <w:lvlText w:val="%2."/>
      <w:lvlJc w:val="left"/>
      <w:pPr>
        <w:ind w:left="2477" w:hanging="360"/>
      </w:pPr>
    </w:lvl>
    <w:lvl w:ilvl="2" w:tplc="0415001B" w:tentative="1">
      <w:start w:val="1"/>
      <w:numFmt w:val="lowerRoman"/>
      <w:lvlText w:val="%3."/>
      <w:lvlJc w:val="right"/>
      <w:pPr>
        <w:ind w:left="3197" w:hanging="180"/>
      </w:pPr>
    </w:lvl>
    <w:lvl w:ilvl="3" w:tplc="0415000F" w:tentative="1">
      <w:start w:val="1"/>
      <w:numFmt w:val="decimal"/>
      <w:lvlText w:val="%4."/>
      <w:lvlJc w:val="left"/>
      <w:pPr>
        <w:ind w:left="3917" w:hanging="360"/>
      </w:pPr>
    </w:lvl>
    <w:lvl w:ilvl="4" w:tplc="04150019" w:tentative="1">
      <w:start w:val="1"/>
      <w:numFmt w:val="lowerLetter"/>
      <w:lvlText w:val="%5."/>
      <w:lvlJc w:val="left"/>
      <w:pPr>
        <w:ind w:left="4637" w:hanging="360"/>
      </w:pPr>
    </w:lvl>
    <w:lvl w:ilvl="5" w:tplc="0415001B" w:tentative="1">
      <w:start w:val="1"/>
      <w:numFmt w:val="lowerRoman"/>
      <w:lvlText w:val="%6."/>
      <w:lvlJc w:val="right"/>
      <w:pPr>
        <w:ind w:left="5357" w:hanging="180"/>
      </w:pPr>
    </w:lvl>
    <w:lvl w:ilvl="6" w:tplc="0415000F" w:tentative="1">
      <w:start w:val="1"/>
      <w:numFmt w:val="decimal"/>
      <w:lvlText w:val="%7."/>
      <w:lvlJc w:val="left"/>
      <w:pPr>
        <w:ind w:left="6077" w:hanging="360"/>
      </w:pPr>
    </w:lvl>
    <w:lvl w:ilvl="7" w:tplc="04150019" w:tentative="1">
      <w:start w:val="1"/>
      <w:numFmt w:val="lowerLetter"/>
      <w:lvlText w:val="%8."/>
      <w:lvlJc w:val="left"/>
      <w:pPr>
        <w:ind w:left="6797" w:hanging="360"/>
      </w:pPr>
    </w:lvl>
    <w:lvl w:ilvl="8" w:tplc="0415001B" w:tentative="1">
      <w:start w:val="1"/>
      <w:numFmt w:val="lowerRoman"/>
      <w:lvlText w:val="%9."/>
      <w:lvlJc w:val="right"/>
      <w:pPr>
        <w:ind w:left="7517" w:hanging="180"/>
      </w:pPr>
    </w:lvl>
  </w:abstractNum>
  <w:abstractNum w:abstractNumId="5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A34328"/>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F87143"/>
    <w:multiLevelType w:val="hybridMultilevel"/>
    <w:tmpl w:val="A66C1AB8"/>
    <w:lvl w:ilvl="0" w:tplc="0409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29525F8F"/>
    <w:multiLevelType w:val="hybridMultilevel"/>
    <w:tmpl w:val="8E1C4E96"/>
    <w:lvl w:ilvl="0" w:tplc="04090011">
      <w:start w:val="1"/>
      <w:numFmt w:val="decimal"/>
      <w:lvlText w:val="%1)"/>
      <w:lvlJc w:val="left"/>
      <w:pPr>
        <w:ind w:left="360" w:hanging="360"/>
      </w:pPr>
      <w:rPr>
        <w:rFonts w:hint="default"/>
      </w:rPr>
    </w:lvl>
    <w:lvl w:ilvl="1" w:tplc="E77640FE">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9B70E5B"/>
    <w:multiLevelType w:val="hybridMultilevel"/>
    <w:tmpl w:val="6C789C6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3B5247"/>
    <w:multiLevelType w:val="multilevel"/>
    <w:tmpl w:val="50D4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7A4CB9"/>
    <w:multiLevelType w:val="hybridMultilevel"/>
    <w:tmpl w:val="923C6D7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8916E0"/>
    <w:multiLevelType w:val="hybridMultilevel"/>
    <w:tmpl w:val="9E4C472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C856D0"/>
    <w:multiLevelType w:val="hybridMultilevel"/>
    <w:tmpl w:val="6D027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BE4732D"/>
    <w:multiLevelType w:val="hybridMultilevel"/>
    <w:tmpl w:val="6678A7EC"/>
    <w:lvl w:ilvl="0" w:tplc="95708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BEA69B2"/>
    <w:multiLevelType w:val="hybridMultilevel"/>
    <w:tmpl w:val="3DA2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F21FD6"/>
    <w:multiLevelType w:val="hybridMultilevel"/>
    <w:tmpl w:val="F0801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2D6C1A"/>
    <w:multiLevelType w:val="hybridMultilevel"/>
    <w:tmpl w:val="06089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C5323A9"/>
    <w:multiLevelType w:val="hybridMultilevel"/>
    <w:tmpl w:val="761ECDA6"/>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2DE310BA"/>
    <w:multiLevelType w:val="hybridMultilevel"/>
    <w:tmpl w:val="E252FC74"/>
    <w:lvl w:ilvl="0" w:tplc="14184C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853EBC"/>
    <w:multiLevelType w:val="hybridMultilevel"/>
    <w:tmpl w:val="151669FE"/>
    <w:lvl w:ilvl="0" w:tplc="96C8F8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00569C9"/>
    <w:multiLevelType w:val="hybridMultilevel"/>
    <w:tmpl w:val="B212D5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15:restartNumberingAfterBreak="0">
    <w:nsid w:val="31217D20"/>
    <w:multiLevelType w:val="hybridMultilevel"/>
    <w:tmpl w:val="326CDF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8E5B24"/>
    <w:multiLevelType w:val="hybridMultilevel"/>
    <w:tmpl w:val="AB1607DC"/>
    <w:lvl w:ilvl="0" w:tplc="D3E828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15790C"/>
    <w:multiLevelType w:val="hybridMultilevel"/>
    <w:tmpl w:val="0C7A1BCA"/>
    <w:lvl w:ilvl="0" w:tplc="04150017">
      <w:start w:val="1"/>
      <w:numFmt w:val="lowerLetter"/>
      <w:lvlText w:val="%1)"/>
      <w:lvlJc w:val="left"/>
      <w:pPr>
        <w:ind w:left="1206" w:hanging="360"/>
      </w:pPr>
    </w:lvl>
    <w:lvl w:ilvl="1" w:tplc="04150017">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72" w15:restartNumberingAfterBreak="0">
    <w:nsid w:val="33FB57F8"/>
    <w:multiLevelType w:val="hybridMultilevel"/>
    <w:tmpl w:val="220477FC"/>
    <w:lvl w:ilvl="0" w:tplc="2DD8313C">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6F1845"/>
    <w:multiLevelType w:val="hybridMultilevel"/>
    <w:tmpl w:val="87D47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598510E"/>
    <w:multiLevelType w:val="hybridMultilevel"/>
    <w:tmpl w:val="8154D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FB0E3B"/>
    <w:multiLevelType w:val="hybridMultilevel"/>
    <w:tmpl w:val="29200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D36961"/>
    <w:multiLevelType w:val="hybridMultilevel"/>
    <w:tmpl w:val="FB826678"/>
    <w:lvl w:ilvl="0" w:tplc="04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78E1239"/>
    <w:multiLevelType w:val="hybridMultilevel"/>
    <w:tmpl w:val="A0902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7CD7E0B"/>
    <w:multiLevelType w:val="multilevel"/>
    <w:tmpl w:val="69B8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8543503"/>
    <w:multiLevelType w:val="hybridMultilevel"/>
    <w:tmpl w:val="594E8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670709"/>
    <w:multiLevelType w:val="hybridMultilevel"/>
    <w:tmpl w:val="0C5A49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39135C16"/>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162F28"/>
    <w:multiLevelType w:val="hybridMultilevel"/>
    <w:tmpl w:val="7B4C7C7C"/>
    <w:lvl w:ilvl="0" w:tplc="16680E74">
      <w:start w:val="1"/>
      <w:numFmt w:val="decimal"/>
      <w:lvlText w:val="%1)"/>
      <w:lvlJc w:val="left"/>
      <w:pPr>
        <w:tabs>
          <w:tab w:val="num" w:pos="720"/>
        </w:tabs>
        <w:ind w:left="720" w:hanging="360"/>
      </w:pPr>
    </w:lvl>
    <w:lvl w:ilvl="1" w:tplc="E2E27A5C" w:tentative="1">
      <w:start w:val="1"/>
      <w:numFmt w:val="decimal"/>
      <w:lvlText w:val="%2)"/>
      <w:lvlJc w:val="left"/>
      <w:pPr>
        <w:tabs>
          <w:tab w:val="num" w:pos="1440"/>
        </w:tabs>
        <w:ind w:left="1440" w:hanging="360"/>
      </w:pPr>
    </w:lvl>
    <w:lvl w:ilvl="2" w:tplc="960AA286" w:tentative="1">
      <w:start w:val="1"/>
      <w:numFmt w:val="decimal"/>
      <w:lvlText w:val="%3)"/>
      <w:lvlJc w:val="left"/>
      <w:pPr>
        <w:tabs>
          <w:tab w:val="num" w:pos="2160"/>
        </w:tabs>
        <w:ind w:left="2160" w:hanging="360"/>
      </w:pPr>
    </w:lvl>
    <w:lvl w:ilvl="3" w:tplc="5600D724" w:tentative="1">
      <w:start w:val="1"/>
      <w:numFmt w:val="decimal"/>
      <w:lvlText w:val="%4)"/>
      <w:lvlJc w:val="left"/>
      <w:pPr>
        <w:tabs>
          <w:tab w:val="num" w:pos="2880"/>
        </w:tabs>
        <w:ind w:left="2880" w:hanging="360"/>
      </w:pPr>
    </w:lvl>
    <w:lvl w:ilvl="4" w:tplc="F87C5A56" w:tentative="1">
      <w:start w:val="1"/>
      <w:numFmt w:val="decimal"/>
      <w:lvlText w:val="%5)"/>
      <w:lvlJc w:val="left"/>
      <w:pPr>
        <w:tabs>
          <w:tab w:val="num" w:pos="3600"/>
        </w:tabs>
        <w:ind w:left="3600" w:hanging="360"/>
      </w:pPr>
    </w:lvl>
    <w:lvl w:ilvl="5" w:tplc="EAC413B6" w:tentative="1">
      <w:start w:val="1"/>
      <w:numFmt w:val="decimal"/>
      <w:lvlText w:val="%6)"/>
      <w:lvlJc w:val="left"/>
      <w:pPr>
        <w:tabs>
          <w:tab w:val="num" w:pos="4320"/>
        </w:tabs>
        <w:ind w:left="4320" w:hanging="360"/>
      </w:pPr>
    </w:lvl>
    <w:lvl w:ilvl="6" w:tplc="A546F17A" w:tentative="1">
      <w:start w:val="1"/>
      <w:numFmt w:val="decimal"/>
      <w:lvlText w:val="%7)"/>
      <w:lvlJc w:val="left"/>
      <w:pPr>
        <w:tabs>
          <w:tab w:val="num" w:pos="5040"/>
        </w:tabs>
        <w:ind w:left="5040" w:hanging="360"/>
      </w:pPr>
    </w:lvl>
    <w:lvl w:ilvl="7" w:tplc="5F28E000" w:tentative="1">
      <w:start w:val="1"/>
      <w:numFmt w:val="decimal"/>
      <w:lvlText w:val="%8)"/>
      <w:lvlJc w:val="left"/>
      <w:pPr>
        <w:tabs>
          <w:tab w:val="num" w:pos="5760"/>
        </w:tabs>
        <w:ind w:left="5760" w:hanging="360"/>
      </w:pPr>
    </w:lvl>
    <w:lvl w:ilvl="8" w:tplc="1B607340" w:tentative="1">
      <w:start w:val="1"/>
      <w:numFmt w:val="decimal"/>
      <w:lvlText w:val="%9)"/>
      <w:lvlJc w:val="left"/>
      <w:pPr>
        <w:tabs>
          <w:tab w:val="num" w:pos="6480"/>
        </w:tabs>
        <w:ind w:left="6480" w:hanging="360"/>
      </w:pPr>
    </w:lvl>
  </w:abstractNum>
  <w:abstractNum w:abstractNumId="8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9A0551"/>
    <w:multiLevelType w:val="hybridMultilevel"/>
    <w:tmpl w:val="563A7BCE"/>
    <w:lvl w:ilvl="0" w:tplc="9B36FD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8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7" w15:restartNumberingAfterBreak="0">
    <w:nsid w:val="3C775ABB"/>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D714C06"/>
    <w:multiLevelType w:val="hybridMultilevel"/>
    <w:tmpl w:val="C2DAA8F2"/>
    <w:lvl w:ilvl="0" w:tplc="5F1C20DA">
      <w:start w:val="1"/>
      <w:numFmt w:val="decimal"/>
      <w:lvlText w:val="%1)"/>
      <w:lvlJc w:val="left"/>
      <w:pPr>
        <w:ind w:left="720" w:hanging="360"/>
      </w:pPr>
      <w:rPr>
        <w:rFonts w:eastAsia="BatangCh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933A65"/>
    <w:multiLevelType w:val="hybridMultilevel"/>
    <w:tmpl w:val="FAC4C8B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0" w15:restartNumberingAfterBreak="0">
    <w:nsid w:val="400A1163"/>
    <w:multiLevelType w:val="hybridMultilevel"/>
    <w:tmpl w:val="7B0CFC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23C2C4D"/>
    <w:multiLevelType w:val="hybridMultilevel"/>
    <w:tmpl w:val="987EAC84"/>
    <w:lvl w:ilvl="0" w:tplc="F7E83FCC">
      <w:start w:val="1"/>
      <w:numFmt w:val="bullet"/>
      <w:lvlText w:val=""/>
      <w:lvlJc w:val="left"/>
      <w:pPr>
        <w:tabs>
          <w:tab w:val="num" w:pos="720"/>
        </w:tabs>
        <w:ind w:left="720" w:hanging="360"/>
      </w:pPr>
      <w:rPr>
        <w:rFonts w:ascii="Wingdings" w:hAnsi="Wingdings" w:hint="default"/>
      </w:rPr>
    </w:lvl>
    <w:lvl w:ilvl="1" w:tplc="CD024A02" w:tentative="1">
      <w:start w:val="1"/>
      <w:numFmt w:val="bullet"/>
      <w:lvlText w:val=""/>
      <w:lvlJc w:val="left"/>
      <w:pPr>
        <w:tabs>
          <w:tab w:val="num" w:pos="1440"/>
        </w:tabs>
        <w:ind w:left="1440" w:hanging="360"/>
      </w:pPr>
      <w:rPr>
        <w:rFonts w:ascii="Wingdings" w:hAnsi="Wingdings" w:hint="default"/>
      </w:rPr>
    </w:lvl>
    <w:lvl w:ilvl="2" w:tplc="9A66E40A" w:tentative="1">
      <w:start w:val="1"/>
      <w:numFmt w:val="bullet"/>
      <w:lvlText w:val=""/>
      <w:lvlJc w:val="left"/>
      <w:pPr>
        <w:tabs>
          <w:tab w:val="num" w:pos="2160"/>
        </w:tabs>
        <w:ind w:left="2160" w:hanging="360"/>
      </w:pPr>
      <w:rPr>
        <w:rFonts w:ascii="Wingdings" w:hAnsi="Wingdings" w:hint="default"/>
      </w:rPr>
    </w:lvl>
    <w:lvl w:ilvl="3" w:tplc="E04ECEEC" w:tentative="1">
      <w:start w:val="1"/>
      <w:numFmt w:val="bullet"/>
      <w:lvlText w:val=""/>
      <w:lvlJc w:val="left"/>
      <w:pPr>
        <w:tabs>
          <w:tab w:val="num" w:pos="2880"/>
        </w:tabs>
        <w:ind w:left="2880" w:hanging="360"/>
      </w:pPr>
      <w:rPr>
        <w:rFonts w:ascii="Wingdings" w:hAnsi="Wingdings" w:hint="default"/>
      </w:rPr>
    </w:lvl>
    <w:lvl w:ilvl="4" w:tplc="F30CDA50" w:tentative="1">
      <w:start w:val="1"/>
      <w:numFmt w:val="bullet"/>
      <w:lvlText w:val=""/>
      <w:lvlJc w:val="left"/>
      <w:pPr>
        <w:tabs>
          <w:tab w:val="num" w:pos="3600"/>
        </w:tabs>
        <w:ind w:left="3600" w:hanging="360"/>
      </w:pPr>
      <w:rPr>
        <w:rFonts w:ascii="Wingdings" w:hAnsi="Wingdings" w:hint="default"/>
      </w:rPr>
    </w:lvl>
    <w:lvl w:ilvl="5" w:tplc="E7764CDE" w:tentative="1">
      <w:start w:val="1"/>
      <w:numFmt w:val="bullet"/>
      <w:lvlText w:val=""/>
      <w:lvlJc w:val="left"/>
      <w:pPr>
        <w:tabs>
          <w:tab w:val="num" w:pos="4320"/>
        </w:tabs>
        <w:ind w:left="4320" w:hanging="360"/>
      </w:pPr>
      <w:rPr>
        <w:rFonts w:ascii="Wingdings" w:hAnsi="Wingdings" w:hint="default"/>
      </w:rPr>
    </w:lvl>
    <w:lvl w:ilvl="6" w:tplc="6F3E2AB8" w:tentative="1">
      <w:start w:val="1"/>
      <w:numFmt w:val="bullet"/>
      <w:lvlText w:val=""/>
      <w:lvlJc w:val="left"/>
      <w:pPr>
        <w:tabs>
          <w:tab w:val="num" w:pos="5040"/>
        </w:tabs>
        <w:ind w:left="5040" w:hanging="360"/>
      </w:pPr>
      <w:rPr>
        <w:rFonts w:ascii="Wingdings" w:hAnsi="Wingdings" w:hint="default"/>
      </w:rPr>
    </w:lvl>
    <w:lvl w:ilvl="7" w:tplc="48AC6DBA" w:tentative="1">
      <w:start w:val="1"/>
      <w:numFmt w:val="bullet"/>
      <w:lvlText w:val=""/>
      <w:lvlJc w:val="left"/>
      <w:pPr>
        <w:tabs>
          <w:tab w:val="num" w:pos="5760"/>
        </w:tabs>
        <w:ind w:left="5760" w:hanging="360"/>
      </w:pPr>
      <w:rPr>
        <w:rFonts w:ascii="Wingdings" w:hAnsi="Wingdings" w:hint="default"/>
      </w:rPr>
    </w:lvl>
    <w:lvl w:ilvl="8" w:tplc="053E8CD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BD1A05"/>
    <w:multiLevelType w:val="hybridMultilevel"/>
    <w:tmpl w:val="FC169990"/>
    <w:lvl w:ilvl="0" w:tplc="04150001">
      <w:start w:val="1"/>
      <w:numFmt w:val="bullet"/>
      <w:lvlText w:val=""/>
      <w:lvlJc w:val="left"/>
      <w:pPr>
        <w:ind w:left="-1765" w:hanging="360"/>
      </w:pPr>
      <w:rPr>
        <w:rFonts w:ascii="Symbol" w:hAnsi="Symbol" w:hint="default"/>
      </w:rPr>
    </w:lvl>
    <w:lvl w:ilvl="1" w:tplc="E77640FE">
      <w:numFmt w:val="bullet"/>
      <w:lvlText w:val="•"/>
      <w:lvlJc w:val="left"/>
      <w:pPr>
        <w:ind w:left="-1045" w:hanging="360"/>
      </w:pPr>
      <w:rPr>
        <w:rFonts w:ascii="Calibri" w:eastAsiaTheme="minorHAnsi" w:hAnsi="Calibri" w:cs="Calibri" w:hint="default"/>
      </w:rPr>
    </w:lvl>
    <w:lvl w:ilvl="2" w:tplc="04150005" w:tentative="1">
      <w:start w:val="1"/>
      <w:numFmt w:val="bullet"/>
      <w:lvlText w:val=""/>
      <w:lvlJc w:val="left"/>
      <w:pPr>
        <w:ind w:left="-325" w:hanging="360"/>
      </w:pPr>
      <w:rPr>
        <w:rFonts w:ascii="Wingdings" w:hAnsi="Wingdings" w:hint="default"/>
      </w:rPr>
    </w:lvl>
    <w:lvl w:ilvl="3" w:tplc="04150001" w:tentative="1">
      <w:start w:val="1"/>
      <w:numFmt w:val="bullet"/>
      <w:lvlText w:val=""/>
      <w:lvlJc w:val="left"/>
      <w:pPr>
        <w:ind w:left="395" w:hanging="360"/>
      </w:pPr>
      <w:rPr>
        <w:rFonts w:ascii="Symbol" w:hAnsi="Symbol" w:hint="default"/>
      </w:rPr>
    </w:lvl>
    <w:lvl w:ilvl="4" w:tplc="04150003" w:tentative="1">
      <w:start w:val="1"/>
      <w:numFmt w:val="bullet"/>
      <w:lvlText w:val="o"/>
      <w:lvlJc w:val="left"/>
      <w:pPr>
        <w:ind w:left="1115" w:hanging="360"/>
      </w:pPr>
      <w:rPr>
        <w:rFonts w:ascii="Courier New" w:hAnsi="Courier New" w:cs="Courier New" w:hint="default"/>
      </w:rPr>
    </w:lvl>
    <w:lvl w:ilvl="5" w:tplc="04150005" w:tentative="1">
      <w:start w:val="1"/>
      <w:numFmt w:val="bullet"/>
      <w:lvlText w:val=""/>
      <w:lvlJc w:val="left"/>
      <w:pPr>
        <w:ind w:left="1835" w:hanging="360"/>
      </w:pPr>
      <w:rPr>
        <w:rFonts w:ascii="Wingdings" w:hAnsi="Wingdings" w:hint="default"/>
      </w:rPr>
    </w:lvl>
    <w:lvl w:ilvl="6" w:tplc="04150001" w:tentative="1">
      <w:start w:val="1"/>
      <w:numFmt w:val="bullet"/>
      <w:lvlText w:val=""/>
      <w:lvlJc w:val="left"/>
      <w:pPr>
        <w:ind w:left="2555" w:hanging="360"/>
      </w:pPr>
      <w:rPr>
        <w:rFonts w:ascii="Symbol" w:hAnsi="Symbol" w:hint="default"/>
      </w:rPr>
    </w:lvl>
    <w:lvl w:ilvl="7" w:tplc="04150003" w:tentative="1">
      <w:start w:val="1"/>
      <w:numFmt w:val="bullet"/>
      <w:lvlText w:val="o"/>
      <w:lvlJc w:val="left"/>
      <w:pPr>
        <w:ind w:left="3275" w:hanging="360"/>
      </w:pPr>
      <w:rPr>
        <w:rFonts w:ascii="Courier New" w:hAnsi="Courier New" w:cs="Courier New" w:hint="default"/>
      </w:rPr>
    </w:lvl>
    <w:lvl w:ilvl="8" w:tplc="04150005" w:tentative="1">
      <w:start w:val="1"/>
      <w:numFmt w:val="bullet"/>
      <w:lvlText w:val=""/>
      <w:lvlJc w:val="left"/>
      <w:pPr>
        <w:ind w:left="3995" w:hanging="360"/>
      </w:pPr>
      <w:rPr>
        <w:rFonts w:ascii="Wingdings" w:hAnsi="Wingdings" w:hint="default"/>
      </w:rPr>
    </w:lvl>
  </w:abstractNum>
  <w:abstractNum w:abstractNumId="93" w15:restartNumberingAfterBreak="0">
    <w:nsid w:val="43392C00"/>
    <w:multiLevelType w:val="hybridMultilevel"/>
    <w:tmpl w:val="6294409C"/>
    <w:lvl w:ilvl="0" w:tplc="9FA60B18">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94" w15:restartNumberingAfterBreak="0">
    <w:nsid w:val="436A06CB"/>
    <w:multiLevelType w:val="hybridMultilevel"/>
    <w:tmpl w:val="B6486820"/>
    <w:lvl w:ilvl="0" w:tplc="0409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3A972E5"/>
    <w:multiLevelType w:val="hybridMultilevel"/>
    <w:tmpl w:val="2A4C1192"/>
    <w:lvl w:ilvl="0" w:tplc="9FA60B18">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04150005">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96" w15:restartNumberingAfterBreak="0">
    <w:nsid w:val="44B232BD"/>
    <w:multiLevelType w:val="hybridMultilevel"/>
    <w:tmpl w:val="4176B7E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4656C21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DB3C19"/>
    <w:multiLevelType w:val="hybridMultilevel"/>
    <w:tmpl w:val="A942E732"/>
    <w:lvl w:ilvl="0" w:tplc="95708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4DB4E54"/>
    <w:multiLevelType w:val="hybridMultilevel"/>
    <w:tmpl w:val="A5C02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5616F63"/>
    <w:multiLevelType w:val="hybridMultilevel"/>
    <w:tmpl w:val="2D5A502E"/>
    <w:lvl w:ilvl="0" w:tplc="4704D28E">
      <w:start w:val="1"/>
      <w:numFmt w:val="decimal"/>
      <w:lvlText w:val="%1)"/>
      <w:lvlJc w:val="left"/>
      <w:pPr>
        <w:ind w:left="795" w:hanging="432"/>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6EE5B33"/>
    <w:multiLevelType w:val="hybridMultilevel"/>
    <w:tmpl w:val="F614F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72D4563"/>
    <w:multiLevelType w:val="hybridMultilevel"/>
    <w:tmpl w:val="703C4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8F7EF7"/>
    <w:multiLevelType w:val="hybridMultilevel"/>
    <w:tmpl w:val="4BBA9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7A60030"/>
    <w:multiLevelType w:val="hybridMultilevel"/>
    <w:tmpl w:val="D9A88876"/>
    <w:lvl w:ilvl="0" w:tplc="9B36FDCE">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105" w15:restartNumberingAfterBreak="0">
    <w:nsid w:val="47C754D6"/>
    <w:multiLevelType w:val="hybridMultilevel"/>
    <w:tmpl w:val="9AAE8B5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6" w15:restartNumberingAfterBreak="0">
    <w:nsid w:val="47CE738C"/>
    <w:multiLevelType w:val="hybridMultilevel"/>
    <w:tmpl w:val="2F30A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7D908C9"/>
    <w:multiLevelType w:val="hybridMultilevel"/>
    <w:tmpl w:val="BABA26E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481D3ACA"/>
    <w:multiLevelType w:val="hybridMultilevel"/>
    <w:tmpl w:val="4C74969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15:restartNumberingAfterBreak="0">
    <w:nsid w:val="4852232E"/>
    <w:multiLevelType w:val="hybridMultilevel"/>
    <w:tmpl w:val="4502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B21F8F"/>
    <w:multiLevelType w:val="hybridMultilevel"/>
    <w:tmpl w:val="9B50F930"/>
    <w:lvl w:ilvl="0" w:tplc="154A13EE">
      <w:start w:val="1"/>
      <w:numFmt w:val="decimal"/>
      <w:lvlText w:val="%1."/>
      <w:lvlJc w:val="left"/>
      <w:pPr>
        <w:ind w:left="720" w:hanging="360"/>
      </w:pPr>
      <w:rPr>
        <w:rFonts w:hint="default"/>
        <w:b/>
      </w:rPr>
    </w:lvl>
    <w:lvl w:ilvl="1" w:tplc="A73AE1C4">
      <w:start w:val="1"/>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C9047C"/>
    <w:multiLevelType w:val="hybridMultilevel"/>
    <w:tmpl w:val="DD6E8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E66358"/>
    <w:multiLevelType w:val="hybridMultilevel"/>
    <w:tmpl w:val="DE9203CE"/>
    <w:lvl w:ilvl="0" w:tplc="9FA60B18">
      <w:start w:val="1"/>
      <w:numFmt w:val="bullet"/>
      <w:lvlText w:val=""/>
      <w:lvlJc w:val="left"/>
      <w:pPr>
        <w:ind w:left="1803" w:hanging="360"/>
      </w:pPr>
      <w:rPr>
        <w:rFonts w:ascii="Symbol" w:hAnsi="Symbol" w:hint="default"/>
      </w:rPr>
    </w:lvl>
    <w:lvl w:ilvl="1" w:tplc="04150003" w:tentative="1">
      <w:start w:val="1"/>
      <w:numFmt w:val="bullet"/>
      <w:lvlText w:val="o"/>
      <w:lvlJc w:val="left"/>
      <w:pPr>
        <w:ind w:left="2523" w:hanging="360"/>
      </w:pPr>
      <w:rPr>
        <w:rFonts w:ascii="Courier New" w:hAnsi="Courier New" w:cs="Courier New" w:hint="default"/>
      </w:rPr>
    </w:lvl>
    <w:lvl w:ilvl="2" w:tplc="9FA60B18">
      <w:start w:val="1"/>
      <w:numFmt w:val="bullet"/>
      <w:lvlText w:val=""/>
      <w:lvlJc w:val="left"/>
      <w:pPr>
        <w:ind w:left="3243" w:hanging="360"/>
      </w:pPr>
      <w:rPr>
        <w:rFonts w:ascii="Symbol" w:hAnsi="Symbol"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13" w15:restartNumberingAfterBreak="0">
    <w:nsid w:val="49B4556B"/>
    <w:multiLevelType w:val="hybridMultilevel"/>
    <w:tmpl w:val="86FC106A"/>
    <w:lvl w:ilvl="0" w:tplc="04150013">
      <w:start w:val="1"/>
      <w:numFmt w:val="upperRoman"/>
      <w:lvlText w:val="%1."/>
      <w:lvlJc w:val="righ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15" w15:restartNumberingAfterBreak="0">
    <w:nsid w:val="4B06634E"/>
    <w:multiLevelType w:val="hybridMultilevel"/>
    <w:tmpl w:val="DC88C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B5704A0"/>
    <w:multiLevelType w:val="hybridMultilevel"/>
    <w:tmpl w:val="2A64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5D6A2F"/>
    <w:multiLevelType w:val="hybridMultilevel"/>
    <w:tmpl w:val="DB5E29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BE30C27"/>
    <w:multiLevelType w:val="hybridMultilevel"/>
    <w:tmpl w:val="B7CCB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C367F91"/>
    <w:multiLevelType w:val="hybridMultilevel"/>
    <w:tmpl w:val="702E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D4751B8"/>
    <w:multiLevelType w:val="hybridMultilevel"/>
    <w:tmpl w:val="85801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DB7D34"/>
    <w:multiLevelType w:val="hybridMultilevel"/>
    <w:tmpl w:val="D9647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E096697"/>
    <w:multiLevelType w:val="hybridMultilevel"/>
    <w:tmpl w:val="18E21F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E537B75"/>
    <w:multiLevelType w:val="hybridMultilevel"/>
    <w:tmpl w:val="34B68DB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4" w15:restartNumberingAfterBreak="0">
    <w:nsid w:val="4FA11ECE"/>
    <w:multiLevelType w:val="hybridMultilevel"/>
    <w:tmpl w:val="0E9CE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172813"/>
    <w:multiLevelType w:val="hybridMultilevel"/>
    <w:tmpl w:val="B0344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7" w15:restartNumberingAfterBreak="0">
    <w:nsid w:val="54812D29"/>
    <w:multiLevelType w:val="hybridMultilevel"/>
    <w:tmpl w:val="86F6F994"/>
    <w:lvl w:ilvl="0" w:tplc="396C77B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9C388C"/>
    <w:multiLevelType w:val="hybridMultilevel"/>
    <w:tmpl w:val="3B8E4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4B14257"/>
    <w:multiLevelType w:val="hybridMultilevel"/>
    <w:tmpl w:val="631A3468"/>
    <w:lvl w:ilvl="0" w:tplc="EF040A6C">
      <w:start w:val="1"/>
      <w:numFmt w:val="decimal"/>
      <w:lvlText w:val="%1)"/>
      <w:lvlJc w:val="left"/>
      <w:pPr>
        <w:ind w:left="720" w:hanging="360"/>
      </w:pPr>
      <w:rPr>
        <w:rFonts w:ascii="Times New Roman" w:eastAsia="BatangChe"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4F045D0"/>
    <w:multiLevelType w:val="hybridMultilevel"/>
    <w:tmpl w:val="003428D4"/>
    <w:lvl w:ilvl="0" w:tplc="AB684958">
      <w:start w:val="1"/>
      <w:numFmt w:val="bullet"/>
      <w:lvlText w:val="-"/>
      <w:lvlJc w:val="left"/>
      <w:pPr>
        <w:tabs>
          <w:tab w:val="num" w:pos="720"/>
        </w:tabs>
        <w:ind w:left="720" w:hanging="360"/>
      </w:pPr>
      <w:rPr>
        <w:rFonts w:ascii="Times New Roman" w:hAnsi="Times New Roman" w:hint="default"/>
      </w:rPr>
    </w:lvl>
    <w:lvl w:ilvl="1" w:tplc="3E640F88" w:tentative="1">
      <w:start w:val="1"/>
      <w:numFmt w:val="bullet"/>
      <w:lvlText w:val="-"/>
      <w:lvlJc w:val="left"/>
      <w:pPr>
        <w:tabs>
          <w:tab w:val="num" w:pos="1440"/>
        </w:tabs>
        <w:ind w:left="1440" w:hanging="360"/>
      </w:pPr>
      <w:rPr>
        <w:rFonts w:ascii="Times New Roman" w:hAnsi="Times New Roman" w:hint="default"/>
      </w:rPr>
    </w:lvl>
    <w:lvl w:ilvl="2" w:tplc="5A2A7C2C" w:tentative="1">
      <w:start w:val="1"/>
      <w:numFmt w:val="bullet"/>
      <w:lvlText w:val="-"/>
      <w:lvlJc w:val="left"/>
      <w:pPr>
        <w:tabs>
          <w:tab w:val="num" w:pos="2160"/>
        </w:tabs>
        <w:ind w:left="2160" w:hanging="360"/>
      </w:pPr>
      <w:rPr>
        <w:rFonts w:ascii="Times New Roman" w:hAnsi="Times New Roman" w:hint="default"/>
      </w:rPr>
    </w:lvl>
    <w:lvl w:ilvl="3" w:tplc="083E7F80" w:tentative="1">
      <w:start w:val="1"/>
      <w:numFmt w:val="bullet"/>
      <w:lvlText w:val="-"/>
      <w:lvlJc w:val="left"/>
      <w:pPr>
        <w:tabs>
          <w:tab w:val="num" w:pos="2880"/>
        </w:tabs>
        <w:ind w:left="2880" w:hanging="360"/>
      </w:pPr>
      <w:rPr>
        <w:rFonts w:ascii="Times New Roman" w:hAnsi="Times New Roman" w:hint="default"/>
      </w:rPr>
    </w:lvl>
    <w:lvl w:ilvl="4" w:tplc="B14050F2" w:tentative="1">
      <w:start w:val="1"/>
      <w:numFmt w:val="bullet"/>
      <w:lvlText w:val="-"/>
      <w:lvlJc w:val="left"/>
      <w:pPr>
        <w:tabs>
          <w:tab w:val="num" w:pos="3600"/>
        </w:tabs>
        <w:ind w:left="3600" w:hanging="360"/>
      </w:pPr>
      <w:rPr>
        <w:rFonts w:ascii="Times New Roman" w:hAnsi="Times New Roman" w:hint="default"/>
      </w:rPr>
    </w:lvl>
    <w:lvl w:ilvl="5" w:tplc="AEBCE786" w:tentative="1">
      <w:start w:val="1"/>
      <w:numFmt w:val="bullet"/>
      <w:lvlText w:val="-"/>
      <w:lvlJc w:val="left"/>
      <w:pPr>
        <w:tabs>
          <w:tab w:val="num" w:pos="4320"/>
        </w:tabs>
        <w:ind w:left="4320" w:hanging="360"/>
      </w:pPr>
      <w:rPr>
        <w:rFonts w:ascii="Times New Roman" w:hAnsi="Times New Roman" w:hint="default"/>
      </w:rPr>
    </w:lvl>
    <w:lvl w:ilvl="6" w:tplc="BE52CBC0" w:tentative="1">
      <w:start w:val="1"/>
      <w:numFmt w:val="bullet"/>
      <w:lvlText w:val="-"/>
      <w:lvlJc w:val="left"/>
      <w:pPr>
        <w:tabs>
          <w:tab w:val="num" w:pos="5040"/>
        </w:tabs>
        <w:ind w:left="5040" w:hanging="360"/>
      </w:pPr>
      <w:rPr>
        <w:rFonts w:ascii="Times New Roman" w:hAnsi="Times New Roman" w:hint="default"/>
      </w:rPr>
    </w:lvl>
    <w:lvl w:ilvl="7" w:tplc="3CF86C4C" w:tentative="1">
      <w:start w:val="1"/>
      <w:numFmt w:val="bullet"/>
      <w:lvlText w:val="-"/>
      <w:lvlJc w:val="left"/>
      <w:pPr>
        <w:tabs>
          <w:tab w:val="num" w:pos="5760"/>
        </w:tabs>
        <w:ind w:left="5760" w:hanging="360"/>
      </w:pPr>
      <w:rPr>
        <w:rFonts w:ascii="Times New Roman" w:hAnsi="Times New Roman" w:hint="default"/>
      </w:rPr>
    </w:lvl>
    <w:lvl w:ilvl="8" w:tplc="3CCEF446" w:tentative="1">
      <w:start w:val="1"/>
      <w:numFmt w:val="bullet"/>
      <w:lvlText w:val="-"/>
      <w:lvlJc w:val="left"/>
      <w:pPr>
        <w:tabs>
          <w:tab w:val="num" w:pos="6480"/>
        </w:tabs>
        <w:ind w:left="6480" w:hanging="360"/>
      </w:pPr>
      <w:rPr>
        <w:rFonts w:ascii="Times New Roman" w:hAnsi="Times New Roman" w:hint="default"/>
      </w:rPr>
    </w:lvl>
  </w:abstractNum>
  <w:abstractNum w:abstractNumId="131" w15:restartNumberingAfterBreak="0">
    <w:nsid w:val="5501508A"/>
    <w:multiLevelType w:val="hybridMultilevel"/>
    <w:tmpl w:val="0A1E9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65C453A"/>
    <w:multiLevelType w:val="hybridMultilevel"/>
    <w:tmpl w:val="10364D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6A12470"/>
    <w:multiLevelType w:val="hybridMultilevel"/>
    <w:tmpl w:val="0CD6E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793231"/>
    <w:multiLevelType w:val="hybridMultilevel"/>
    <w:tmpl w:val="61DCA356"/>
    <w:lvl w:ilvl="0" w:tplc="04150017">
      <w:start w:val="1"/>
      <w:numFmt w:val="lowerLetter"/>
      <w:lvlText w:val="%1)"/>
      <w:lvlJc w:val="left"/>
      <w:pPr>
        <w:ind w:left="1206" w:hanging="360"/>
      </w:pPr>
    </w:lvl>
    <w:lvl w:ilvl="1" w:tplc="04150019">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3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6" w15:restartNumberingAfterBreak="0">
    <w:nsid w:val="5A414ABD"/>
    <w:multiLevelType w:val="hybridMultilevel"/>
    <w:tmpl w:val="EB689602"/>
    <w:lvl w:ilvl="0" w:tplc="EE9A1FD0">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7" w15:restartNumberingAfterBreak="0">
    <w:nsid w:val="5A65218C"/>
    <w:multiLevelType w:val="hybridMultilevel"/>
    <w:tmpl w:val="6CB24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BEA7044"/>
    <w:multiLevelType w:val="hybridMultilevel"/>
    <w:tmpl w:val="5688EF84"/>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CCB1207"/>
    <w:multiLevelType w:val="hybridMultilevel"/>
    <w:tmpl w:val="7BB8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2" w15:restartNumberingAfterBreak="0">
    <w:nsid w:val="60E91FFC"/>
    <w:multiLevelType w:val="hybridMultilevel"/>
    <w:tmpl w:val="8C8A061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AA047D"/>
    <w:multiLevelType w:val="hybridMultilevel"/>
    <w:tmpl w:val="D06A2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DE5C66"/>
    <w:multiLevelType w:val="hybridMultilevel"/>
    <w:tmpl w:val="F39075BE"/>
    <w:lvl w:ilvl="0" w:tplc="7758D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25A6103"/>
    <w:multiLevelType w:val="hybridMultilevel"/>
    <w:tmpl w:val="05283B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25B7BD3"/>
    <w:multiLevelType w:val="hybridMultilevel"/>
    <w:tmpl w:val="2C261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2BC06F1"/>
    <w:multiLevelType w:val="hybridMultilevel"/>
    <w:tmpl w:val="0D668040"/>
    <w:lvl w:ilvl="0" w:tplc="8F84487C">
      <w:start w:val="1"/>
      <w:numFmt w:val="bullet"/>
      <w:lvlText w:val=""/>
      <w:lvlJc w:val="left"/>
      <w:pPr>
        <w:tabs>
          <w:tab w:val="num" w:pos="720"/>
        </w:tabs>
        <w:ind w:left="720" w:hanging="360"/>
      </w:pPr>
      <w:rPr>
        <w:rFonts w:ascii="Wingdings" w:hAnsi="Wingdings" w:hint="default"/>
      </w:rPr>
    </w:lvl>
    <w:lvl w:ilvl="1" w:tplc="0B72806A" w:tentative="1">
      <w:start w:val="1"/>
      <w:numFmt w:val="bullet"/>
      <w:lvlText w:val=""/>
      <w:lvlJc w:val="left"/>
      <w:pPr>
        <w:tabs>
          <w:tab w:val="num" w:pos="1440"/>
        </w:tabs>
        <w:ind w:left="1440" w:hanging="360"/>
      </w:pPr>
      <w:rPr>
        <w:rFonts w:ascii="Wingdings" w:hAnsi="Wingdings" w:hint="default"/>
      </w:rPr>
    </w:lvl>
    <w:lvl w:ilvl="2" w:tplc="064E3B10" w:tentative="1">
      <w:start w:val="1"/>
      <w:numFmt w:val="bullet"/>
      <w:lvlText w:val=""/>
      <w:lvlJc w:val="left"/>
      <w:pPr>
        <w:tabs>
          <w:tab w:val="num" w:pos="2160"/>
        </w:tabs>
        <w:ind w:left="2160" w:hanging="360"/>
      </w:pPr>
      <w:rPr>
        <w:rFonts w:ascii="Wingdings" w:hAnsi="Wingdings" w:hint="default"/>
      </w:rPr>
    </w:lvl>
    <w:lvl w:ilvl="3" w:tplc="3E3617D8" w:tentative="1">
      <w:start w:val="1"/>
      <w:numFmt w:val="bullet"/>
      <w:lvlText w:val=""/>
      <w:lvlJc w:val="left"/>
      <w:pPr>
        <w:tabs>
          <w:tab w:val="num" w:pos="2880"/>
        </w:tabs>
        <w:ind w:left="2880" w:hanging="360"/>
      </w:pPr>
      <w:rPr>
        <w:rFonts w:ascii="Wingdings" w:hAnsi="Wingdings" w:hint="default"/>
      </w:rPr>
    </w:lvl>
    <w:lvl w:ilvl="4" w:tplc="223254D4" w:tentative="1">
      <w:start w:val="1"/>
      <w:numFmt w:val="bullet"/>
      <w:lvlText w:val=""/>
      <w:lvlJc w:val="left"/>
      <w:pPr>
        <w:tabs>
          <w:tab w:val="num" w:pos="3600"/>
        </w:tabs>
        <w:ind w:left="3600" w:hanging="360"/>
      </w:pPr>
      <w:rPr>
        <w:rFonts w:ascii="Wingdings" w:hAnsi="Wingdings" w:hint="default"/>
      </w:rPr>
    </w:lvl>
    <w:lvl w:ilvl="5" w:tplc="BE787AAA" w:tentative="1">
      <w:start w:val="1"/>
      <w:numFmt w:val="bullet"/>
      <w:lvlText w:val=""/>
      <w:lvlJc w:val="left"/>
      <w:pPr>
        <w:tabs>
          <w:tab w:val="num" w:pos="4320"/>
        </w:tabs>
        <w:ind w:left="4320" w:hanging="360"/>
      </w:pPr>
      <w:rPr>
        <w:rFonts w:ascii="Wingdings" w:hAnsi="Wingdings" w:hint="default"/>
      </w:rPr>
    </w:lvl>
    <w:lvl w:ilvl="6" w:tplc="4F5C1362" w:tentative="1">
      <w:start w:val="1"/>
      <w:numFmt w:val="bullet"/>
      <w:lvlText w:val=""/>
      <w:lvlJc w:val="left"/>
      <w:pPr>
        <w:tabs>
          <w:tab w:val="num" w:pos="5040"/>
        </w:tabs>
        <w:ind w:left="5040" w:hanging="360"/>
      </w:pPr>
      <w:rPr>
        <w:rFonts w:ascii="Wingdings" w:hAnsi="Wingdings" w:hint="default"/>
      </w:rPr>
    </w:lvl>
    <w:lvl w:ilvl="7" w:tplc="E482FD2E" w:tentative="1">
      <w:start w:val="1"/>
      <w:numFmt w:val="bullet"/>
      <w:lvlText w:val=""/>
      <w:lvlJc w:val="left"/>
      <w:pPr>
        <w:tabs>
          <w:tab w:val="num" w:pos="5760"/>
        </w:tabs>
        <w:ind w:left="5760" w:hanging="360"/>
      </w:pPr>
      <w:rPr>
        <w:rFonts w:ascii="Wingdings" w:hAnsi="Wingdings" w:hint="default"/>
      </w:rPr>
    </w:lvl>
    <w:lvl w:ilvl="8" w:tplc="683AFAC2"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50" w15:restartNumberingAfterBreak="0">
    <w:nsid w:val="63CC5892"/>
    <w:multiLevelType w:val="hybridMultilevel"/>
    <w:tmpl w:val="51164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88744B"/>
    <w:multiLevelType w:val="hybridMultilevel"/>
    <w:tmpl w:val="C5D2BBAA"/>
    <w:lvl w:ilvl="0" w:tplc="04150007">
      <w:start w:val="1"/>
      <w:numFmt w:val="bullet"/>
      <w:lvlText w:val=""/>
      <w:lvlPicBulletId w:val="0"/>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52" w15:restartNumberingAfterBreak="0">
    <w:nsid w:val="64AF54BF"/>
    <w:multiLevelType w:val="hybridMultilevel"/>
    <w:tmpl w:val="DDEA1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25099"/>
    <w:multiLevelType w:val="hybridMultilevel"/>
    <w:tmpl w:val="7AD82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5217F84"/>
    <w:multiLevelType w:val="hybridMultilevel"/>
    <w:tmpl w:val="45BE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5C3610"/>
    <w:multiLevelType w:val="hybridMultilevel"/>
    <w:tmpl w:val="9DD6883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58450CB"/>
    <w:multiLevelType w:val="hybridMultilevel"/>
    <w:tmpl w:val="8FE8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5BF1FA1"/>
    <w:multiLevelType w:val="hybridMultilevel"/>
    <w:tmpl w:val="C2B64F84"/>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9818E9"/>
    <w:multiLevelType w:val="hybridMultilevel"/>
    <w:tmpl w:val="B6C07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6A76A05"/>
    <w:multiLevelType w:val="hybridMultilevel"/>
    <w:tmpl w:val="224C42C4"/>
    <w:lvl w:ilvl="0" w:tplc="9FA60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73F2D1E"/>
    <w:multiLevelType w:val="hybridMultilevel"/>
    <w:tmpl w:val="3BDAA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9E71A5"/>
    <w:multiLevelType w:val="hybridMultilevel"/>
    <w:tmpl w:val="C40C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3611DC"/>
    <w:multiLevelType w:val="hybridMultilevel"/>
    <w:tmpl w:val="C24C870A"/>
    <w:lvl w:ilvl="0" w:tplc="9B36FDCE">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63" w15:restartNumberingAfterBreak="0">
    <w:nsid w:val="6C3C0DA4"/>
    <w:multiLevelType w:val="hybridMultilevel"/>
    <w:tmpl w:val="01EC1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D691CC9"/>
    <w:multiLevelType w:val="hybridMultilevel"/>
    <w:tmpl w:val="1EEEE464"/>
    <w:lvl w:ilvl="0" w:tplc="7A601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DCD1A84"/>
    <w:multiLevelType w:val="hybridMultilevel"/>
    <w:tmpl w:val="1C844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1C4311"/>
    <w:multiLevelType w:val="hybridMultilevel"/>
    <w:tmpl w:val="3AC85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708C0036"/>
    <w:multiLevelType w:val="hybridMultilevel"/>
    <w:tmpl w:val="772C413A"/>
    <w:lvl w:ilvl="0" w:tplc="9FA60B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0FA6FF2"/>
    <w:multiLevelType w:val="hybridMultilevel"/>
    <w:tmpl w:val="D5327D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1AC1779"/>
    <w:multiLevelType w:val="hybridMultilevel"/>
    <w:tmpl w:val="6A3855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15:restartNumberingAfterBreak="0">
    <w:nsid w:val="72DD4BFD"/>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2F6207F"/>
    <w:multiLevelType w:val="hybridMultilevel"/>
    <w:tmpl w:val="61D6DC9C"/>
    <w:lvl w:ilvl="0" w:tplc="0B4C9F40">
      <w:start w:val="1"/>
      <w:numFmt w:val="decimal"/>
      <w:lvlText w:val="%1)"/>
      <w:lvlJc w:val="left"/>
      <w:pPr>
        <w:ind w:left="780" w:hanging="360"/>
      </w:pPr>
      <w:rPr>
        <w:rFonts w:ascii="Times New Roman" w:eastAsia="Times New Roman"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3" w15:restartNumberingAfterBreak="0">
    <w:nsid w:val="7422007C"/>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6C0873"/>
    <w:multiLevelType w:val="hybridMultilevel"/>
    <w:tmpl w:val="BDB4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5DF4069"/>
    <w:multiLevelType w:val="hybridMultilevel"/>
    <w:tmpl w:val="5978A8D6"/>
    <w:lvl w:ilvl="0" w:tplc="57DAA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415B89"/>
    <w:multiLevelType w:val="hybridMultilevel"/>
    <w:tmpl w:val="26DC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6666759"/>
    <w:multiLevelType w:val="hybridMultilevel"/>
    <w:tmpl w:val="1C88D5DC"/>
    <w:lvl w:ilvl="0" w:tplc="EE48F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6C4FFF"/>
    <w:multiLevelType w:val="hybridMultilevel"/>
    <w:tmpl w:val="91CCB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391A40"/>
    <w:multiLevelType w:val="hybridMultilevel"/>
    <w:tmpl w:val="0930D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9016A5"/>
    <w:multiLevelType w:val="hybridMultilevel"/>
    <w:tmpl w:val="48AC76EE"/>
    <w:lvl w:ilvl="0" w:tplc="A5CADF0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133A35"/>
    <w:multiLevelType w:val="hybridMultilevel"/>
    <w:tmpl w:val="6504B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1E414E"/>
    <w:multiLevelType w:val="hybridMultilevel"/>
    <w:tmpl w:val="09CC5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96E3A15"/>
    <w:multiLevelType w:val="hybridMultilevel"/>
    <w:tmpl w:val="31829D64"/>
    <w:lvl w:ilvl="0" w:tplc="04150011">
      <w:start w:val="1"/>
      <w:numFmt w:val="decimal"/>
      <w:lvlText w:val="%1)"/>
      <w:lvlJc w:val="left"/>
      <w:pPr>
        <w:ind w:left="720" w:hanging="360"/>
      </w:pPr>
      <w:rPr>
        <w:rFonts w:hint="default"/>
      </w:rPr>
    </w:lvl>
    <w:lvl w:ilvl="1" w:tplc="9B0A36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0C7BE8"/>
    <w:multiLevelType w:val="hybridMultilevel"/>
    <w:tmpl w:val="C3FC3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AAE3DB4"/>
    <w:multiLevelType w:val="hybridMultilevel"/>
    <w:tmpl w:val="CCA8E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7CDF3A15"/>
    <w:multiLevelType w:val="hybridMultilevel"/>
    <w:tmpl w:val="FDCE9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7CE36108"/>
    <w:multiLevelType w:val="hybridMultilevel"/>
    <w:tmpl w:val="5B5E8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F3D1A1E"/>
    <w:multiLevelType w:val="hybridMultilevel"/>
    <w:tmpl w:val="37867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FF82573"/>
    <w:multiLevelType w:val="hybridMultilevel"/>
    <w:tmpl w:val="7880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
  </w:num>
  <w:num w:numId="3">
    <w:abstractNumId w:val="83"/>
  </w:num>
  <w:num w:numId="4">
    <w:abstractNumId w:val="144"/>
  </w:num>
  <w:num w:numId="5">
    <w:abstractNumId w:val="16"/>
  </w:num>
  <w:num w:numId="6">
    <w:abstractNumId w:val="52"/>
  </w:num>
  <w:num w:numId="7">
    <w:abstractNumId w:val="100"/>
  </w:num>
  <w:num w:numId="8">
    <w:abstractNumId w:val="38"/>
  </w:num>
  <w:num w:numId="9">
    <w:abstractNumId w:val="126"/>
  </w:num>
  <w:num w:numId="10">
    <w:abstractNumId w:val="86"/>
  </w:num>
  <w:num w:numId="11">
    <w:abstractNumId w:val="114"/>
  </w:num>
  <w:num w:numId="12">
    <w:abstractNumId w:val="21"/>
  </w:num>
  <w:num w:numId="13">
    <w:abstractNumId w:val="85"/>
  </w:num>
  <w:num w:numId="14">
    <w:abstractNumId w:val="149"/>
  </w:num>
  <w:num w:numId="15">
    <w:abstractNumId w:val="135"/>
  </w:num>
  <w:num w:numId="16">
    <w:abstractNumId w:val="141"/>
  </w:num>
  <w:num w:numId="17">
    <w:abstractNumId w:val="44"/>
  </w:num>
  <w:num w:numId="18">
    <w:abstractNumId w:val="167"/>
  </w:num>
  <w:num w:numId="19">
    <w:abstractNumId w:val="186"/>
  </w:num>
  <w:num w:numId="20">
    <w:abstractNumId w:val="140"/>
  </w:num>
  <w:num w:numId="21">
    <w:abstractNumId w:val="47"/>
  </w:num>
  <w:num w:numId="22">
    <w:abstractNumId w:val="180"/>
  </w:num>
  <w:num w:numId="23">
    <w:abstractNumId w:val="11"/>
  </w:num>
  <w:num w:numId="24">
    <w:abstractNumId w:val="9"/>
  </w:num>
  <w:num w:numId="25">
    <w:abstractNumId w:val="72"/>
  </w:num>
  <w:num w:numId="26">
    <w:abstractNumId w:val="122"/>
  </w:num>
  <w:num w:numId="27">
    <w:abstractNumId w:val="151"/>
  </w:num>
  <w:num w:numId="28">
    <w:abstractNumId w:val="133"/>
  </w:num>
  <w:num w:numId="29">
    <w:abstractNumId w:val="50"/>
  </w:num>
  <w:num w:numId="30">
    <w:abstractNumId w:val="118"/>
  </w:num>
  <w:num w:numId="31">
    <w:abstractNumId w:val="27"/>
  </w:num>
  <w:num w:numId="32">
    <w:abstractNumId w:val="132"/>
  </w:num>
  <w:num w:numId="33">
    <w:abstractNumId w:val="129"/>
  </w:num>
  <w:num w:numId="34">
    <w:abstractNumId w:val="172"/>
  </w:num>
  <w:num w:numId="35">
    <w:abstractNumId w:val="176"/>
  </w:num>
  <w:num w:numId="36">
    <w:abstractNumId w:val="88"/>
  </w:num>
  <w:num w:numId="37">
    <w:abstractNumId w:val="90"/>
  </w:num>
  <w:num w:numId="38">
    <w:abstractNumId w:val="10"/>
  </w:num>
  <w:num w:numId="39">
    <w:abstractNumId w:val="41"/>
  </w:num>
  <w:num w:numId="40">
    <w:abstractNumId w:val="63"/>
  </w:num>
  <w:num w:numId="41">
    <w:abstractNumId w:val="160"/>
  </w:num>
  <w:num w:numId="42">
    <w:abstractNumId w:val="58"/>
  </w:num>
  <w:num w:numId="43">
    <w:abstractNumId w:val="146"/>
  </w:num>
  <w:num w:numId="44">
    <w:abstractNumId w:val="97"/>
  </w:num>
  <w:num w:numId="45">
    <w:abstractNumId w:val="61"/>
  </w:num>
  <w:num w:numId="46">
    <w:abstractNumId w:val="164"/>
  </w:num>
  <w:num w:numId="47">
    <w:abstractNumId w:val="19"/>
  </w:num>
  <w:num w:numId="48">
    <w:abstractNumId w:val="128"/>
  </w:num>
  <w:num w:numId="49">
    <w:abstractNumId w:val="56"/>
  </w:num>
  <w:num w:numId="50">
    <w:abstractNumId w:val="2"/>
  </w:num>
  <w:num w:numId="51">
    <w:abstractNumId w:val="43"/>
  </w:num>
  <w:num w:numId="52">
    <w:abstractNumId w:val="165"/>
  </w:num>
  <w:num w:numId="53">
    <w:abstractNumId w:val="121"/>
  </w:num>
  <w:num w:numId="54">
    <w:abstractNumId w:val="62"/>
  </w:num>
  <w:num w:numId="55">
    <w:abstractNumId w:val="111"/>
  </w:num>
  <w:num w:numId="56">
    <w:abstractNumId w:val="98"/>
  </w:num>
  <w:num w:numId="57">
    <w:abstractNumId w:val="190"/>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8"/>
  </w:num>
  <w:num w:numId="61">
    <w:abstractNumId w:val="124"/>
  </w:num>
  <w:num w:numId="62">
    <w:abstractNumId w:val="183"/>
  </w:num>
  <w:num w:numId="63">
    <w:abstractNumId w:val="77"/>
  </w:num>
  <w:num w:numId="64">
    <w:abstractNumId w:val="29"/>
  </w:num>
  <w:num w:numId="65">
    <w:abstractNumId w:val="134"/>
  </w:num>
  <w:num w:numId="66">
    <w:abstractNumId w:val="71"/>
  </w:num>
  <w:num w:numId="67">
    <w:abstractNumId w:val="42"/>
  </w:num>
  <w:num w:numId="68">
    <w:abstractNumId w:val="36"/>
  </w:num>
  <w:num w:numId="69">
    <w:abstractNumId w:val="69"/>
  </w:num>
  <w:num w:numId="70">
    <w:abstractNumId w:val="32"/>
  </w:num>
  <w:num w:numId="71">
    <w:abstractNumId w:val="13"/>
  </w:num>
  <w:num w:numId="72">
    <w:abstractNumId w:val="81"/>
  </w:num>
  <w:num w:numId="73">
    <w:abstractNumId w:val="188"/>
  </w:num>
  <w:num w:numId="74">
    <w:abstractNumId w:val="22"/>
  </w:num>
  <w:num w:numId="75">
    <w:abstractNumId w:val="187"/>
  </w:num>
  <w:num w:numId="76">
    <w:abstractNumId w:val="161"/>
  </w:num>
  <w:num w:numId="77">
    <w:abstractNumId w:val="79"/>
  </w:num>
  <w:num w:numId="78">
    <w:abstractNumId w:val="23"/>
  </w:num>
  <w:num w:numId="79">
    <w:abstractNumId w:val="1"/>
  </w:num>
  <w:num w:numId="80">
    <w:abstractNumId w:val="33"/>
  </w:num>
  <w:num w:numId="81">
    <w:abstractNumId w:val="125"/>
  </w:num>
  <w:num w:numId="82">
    <w:abstractNumId w:val="25"/>
  </w:num>
  <w:num w:numId="83">
    <w:abstractNumId w:val="162"/>
  </w:num>
  <w:num w:numId="84">
    <w:abstractNumId w:val="51"/>
  </w:num>
  <w:num w:numId="85">
    <w:abstractNumId w:val="175"/>
  </w:num>
  <w:num w:numId="86">
    <w:abstractNumId w:val="57"/>
  </w:num>
  <w:num w:numId="87">
    <w:abstractNumId w:val="75"/>
  </w:num>
  <w:num w:numId="88">
    <w:abstractNumId w:val="20"/>
  </w:num>
  <w:num w:numId="89">
    <w:abstractNumId w:val="8"/>
  </w:num>
  <w:num w:numId="90">
    <w:abstractNumId w:val="168"/>
  </w:num>
  <w:num w:numId="91">
    <w:abstractNumId w:val="178"/>
  </w:num>
  <w:num w:numId="92">
    <w:abstractNumId w:val="150"/>
  </w:num>
  <w:num w:numId="93">
    <w:abstractNumId w:val="64"/>
  </w:num>
  <w:num w:numId="94">
    <w:abstractNumId w:val="115"/>
  </w:num>
  <w:num w:numId="95">
    <w:abstractNumId w:val="95"/>
  </w:num>
  <w:num w:numId="96">
    <w:abstractNumId w:val="112"/>
  </w:num>
  <w:num w:numId="97">
    <w:abstractNumId w:val="105"/>
  </w:num>
  <w:num w:numId="98">
    <w:abstractNumId w:val="99"/>
  </w:num>
  <w:num w:numId="99">
    <w:abstractNumId w:val="40"/>
  </w:num>
  <w:num w:numId="100">
    <w:abstractNumId w:val="173"/>
  </w:num>
  <w:num w:numId="101">
    <w:abstractNumId w:val="87"/>
  </w:num>
  <w:num w:numId="102">
    <w:abstractNumId w:val="76"/>
  </w:num>
  <w:num w:numId="103">
    <w:abstractNumId w:val="17"/>
  </w:num>
  <w:num w:numId="104">
    <w:abstractNumId w:val="157"/>
  </w:num>
  <w:num w:numId="105">
    <w:abstractNumId w:val="66"/>
  </w:num>
  <w:num w:numId="106">
    <w:abstractNumId w:val="39"/>
  </w:num>
  <w:num w:numId="107">
    <w:abstractNumId w:val="147"/>
  </w:num>
  <w:num w:numId="108">
    <w:abstractNumId w:val="54"/>
  </w:num>
  <w:num w:numId="109">
    <w:abstractNumId w:val="53"/>
  </w:num>
  <w:num w:numId="110">
    <w:abstractNumId w:val="177"/>
  </w:num>
  <w:num w:numId="111">
    <w:abstractNumId w:val="169"/>
  </w:num>
  <w:num w:numId="112">
    <w:abstractNumId w:val="68"/>
  </w:num>
  <w:num w:numId="113">
    <w:abstractNumId w:val="92"/>
  </w:num>
  <w:num w:numId="114">
    <w:abstractNumId w:val="67"/>
  </w:num>
  <w:num w:numId="115">
    <w:abstractNumId w:val="30"/>
  </w:num>
  <w:num w:numId="116">
    <w:abstractNumId w:val="136"/>
  </w:num>
  <w:num w:numId="117">
    <w:abstractNumId w:val="94"/>
  </w:num>
  <w:num w:numId="118">
    <w:abstractNumId w:val="55"/>
  </w:num>
  <w:num w:numId="119">
    <w:abstractNumId w:val="143"/>
  </w:num>
  <w:num w:numId="120">
    <w:abstractNumId w:val="166"/>
  </w:num>
  <w:num w:numId="121">
    <w:abstractNumId w:val="104"/>
  </w:num>
  <w:num w:numId="122">
    <w:abstractNumId w:val="155"/>
  </w:num>
  <w:num w:numId="123">
    <w:abstractNumId w:val="158"/>
  </w:num>
  <w:num w:numId="124">
    <w:abstractNumId w:val="74"/>
  </w:num>
  <w:num w:numId="125">
    <w:abstractNumId w:val="89"/>
  </w:num>
  <w:num w:numId="126">
    <w:abstractNumId w:val="84"/>
  </w:num>
  <w:num w:numId="127">
    <w:abstractNumId w:val="46"/>
  </w:num>
  <w:num w:numId="128">
    <w:abstractNumId w:val="127"/>
  </w:num>
  <w:num w:numId="129">
    <w:abstractNumId w:val="138"/>
  </w:num>
  <w:num w:numId="130">
    <w:abstractNumId w:val="59"/>
  </w:num>
  <w:num w:numId="131">
    <w:abstractNumId w:val="14"/>
  </w:num>
  <w:num w:numId="132">
    <w:abstractNumId w:val="123"/>
  </w:num>
  <w:num w:numId="133">
    <w:abstractNumId w:val="34"/>
  </w:num>
  <w:num w:numId="134">
    <w:abstractNumId w:val="145"/>
  </w:num>
  <w:num w:numId="135">
    <w:abstractNumId w:val="148"/>
  </w:num>
  <w:num w:numId="136">
    <w:abstractNumId w:val="0"/>
  </w:num>
  <w:num w:numId="137">
    <w:abstractNumId w:val="130"/>
  </w:num>
  <w:num w:numId="138">
    <w:abstractNumId w:val="91"/>
  </w:num>
  <w:num w:numId="139">
    <w:abstractNumId w:val="82"/>
  </w:num>
  <w:num w:numId="140">
    <w:abstractNumId w:val="49"/>
  </w:num>
  <w:num w:numId="141">
    <w:abstractNumId w:val="102"/>
  </w:num>
  <w:num w:numId="142">
    <w:abstractNumId w:val="171"/>
  </w:num>
  <w:num w:numId="143">
    <w:abstractNumId w:val="179"/>
  </w:num>
  <w:num w:numId="144">
    <w:abstractNumId w:val="184"/>
  </w:num>
  <w:num w:numId="145">
    <w:abstractNumId w:val="156"/>
  </w:num>
  <w:num w:numId="146">
    <w:abstractNumId w:val="101"/>
  </w:num>
  <w:num w:numId="147">
    <w:abstractNumId w:val="174"/>
  </w:num>
  <w:num w:numId="148">
    <w:abstractNumId w:val="131"/>
  </w:num>
  <w:num w:numId="149">
    <w:abstractNumId w:val="153"/>
  </w:num>
  <w:num w:numId="150">
    <w:abstractNumId w:val="65"/>
  </w:num>
  <w:num w:numId="151">
    <w:abstractNumId w:val="154"/>
  </w:num>
  <w:num w:numId="152">
    <w:abstractNumId w:val="119"/>
  </w:num>
  <w:num w:numId="153">
    <w:abstractNumId w:val="26"/>
  </w:num>
  <w:num w:numId="154">
    <w:abstractNumId w:val="3"/>
  </w:num>
  <w:num w:numId="155">
    <w:abstractNumId w:val="181"/>
  </w:num>
  <w:num w:numId="156">
    <w:abstractNumId w:val="117"/>
  </w:num>
  <w:num w:numId="157">
    <w:abstractNumId w:val="120"/>
  </w:num>
  <w:num w:numId="158">
    <w:abstractNumId w:val="142"/>
  </w:num>
  <w:num w:numId="159">
    <w:abstractNumId w:val="113"/>
  </w:num>
  <w:num w:numId="160">
    <w:abstractNumId w:val="96"/>
  </w:num>
  <w:num w:numId="161">
    <w:abstractNumId w:val="93"/>
  </w:num>
  <w:num w:numId="162">
    <w:abstractNumId w:val="107"/>
  </w:num>
  <w:num w:numId="163">
    <w:abstractNumId w:val="108"/>
  </w:num>
  <w:num w:numId="164">
    <w:abstractNumId w:val="159"/>
  </w:num>
  <w:num w:numId="165">
    <w:abstractNumId w:val="110"/>
  </w:num>
  <w:num w:numId="166">
    <w:abstractNumId w:val="18"/>
  </w:num>
  <w:num w:numId="167">
    <w:abstractNumId w:val="170"/>
  </w:num>
  <w:num w:numId="168">
    <w:abstractNumId w:val="7"/>
  </w:num>
  <w:num w:numId="169">
    <w:abstractNumId w:val="80"/>
  </w:num>
  <w:num w:numId="170">
    <w:abstractNumId w:val="31"/>
  </w:num>
  <w:num w:numId="171">
    <w:abstractNumId w:val="70"/>
  </w:num>
  <w:num w:numId="172">
    <w:abstractNumId w:val="103"/>
  </w:num>
  <w:num w:numId="173">
    <w:abstractNumId w:val="24"/>
  </w:num>
  <w:num w:numId="174">
    <w:abstractNumId w:val="152"/>
  </w:num>
  <w:num w:numId="175">
    <w:abstractNumId w:val="185"/>
  </w:num>
  <w:num w:numId="176">
    <w:abstractNumId w:val="106"/>
  </w:num>
  <w:num w:numId="177">
    <w:abstractNumId w:val="163"/>
  </w:num>
  <w:num w:numId="178">
    <w:abstractNumId w:val="78"/>
  </w:num>
  <w:num w:numId="179">
    <w:abstractNumId w:val="189"/>
  </w:num>
  <w:num w:numId="180">
    <w:abstractNumId w:val="60"/>
  </w:num>
  <w:num w:numId="181">
    <w:abstractNumId w:val="15"/>
  </w:num>
  <w:num w:numId="182">
    <w:abstractNumId w:val="73"/>
  </w:num>
  <w:num w:numId="183">
    <w:abstractNumId w:val="35"/>
  </w:num>
  <w:num w:numId="184">
    <w:abstractNumId w:val="182"/>
  </w:num>
  <w:num w:numId="185">
    <w:abstractNumId w:val="139"/>
  </w:num>
  <w:num w:numId="186">
    <w:abstractNumId w:val="137"/>
  </w:num>
  <w:num w:numId="187">
    <w:abstractNumId w:val="4"/>
  </w:num>
  <w:num w:numId="188">
    <w:abstractNumId w:val="12"/>
  </w:num>
  <w:num w:numId="189">
    <w:abstractNumId w:val="45"/>
  </w:num>
  <w:num w:numId="190">
    <w:abstractNumId w:val="5"/>
  </w:num>
  <w:num w:numId="191">
    <w:abstractNumId w:val="116"/>
  </w:num>
  <w:num w:numId="192">
    <w:abstractNumId w:val="10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0D30"/>
    <w:rsid w:val="00001497"/>
    <w:rsid w:val="000014B9"/>
    <w:rsid w:val="000015EE"/>
    <w:rsid w:val="00001684"/>
    <w:rsid w:val="000022D5"/>
    <w:rsid w:val="00002B41"/>
    <w:rsid w:val="00003D20"/>
    <w:rsid w:val="00004C6A"/>
    <w:rsid w:val="00004EC7"/>
    <w:rsid w:val="00005B49"/>
    <w:rsid w:val="00007051"/>
    <w:rsid w:val="00011902"/>
    <w:rsid w:val="0001265C"/>
    <w:rsid w:val="00012686"/>
    <w:rsid w:val="00012D11"/>
    <w:rsid w:val="00012E65"/>
    <w:rsid w:val="00013EB5"/>
    <w:rsid w:val="00014764"/>
    <w:rsid w:val="00015719"/>
    <w:rsid w:val="0001633F"/>
    <w:rsid w:val="000167B8"/>
    <w:rsid w:val="00016CDA"/>
    <w:rsid w:val="0001735F"/>
    <w:rsid w:val="00017376"/>
    <w:rsid w:val="000213FD"/>
    <w:rsid w:val="00021447"/>
    <w:rsid w:val="000219B1"/>
    <w:rsid w:val="0002227B"/>
    <w:rsid w:val="000229FE"/>
    <w:rsid w:val="000232AD"/>
    <w:rsid w:val="00023836"/>
    <w:rsid w:val="00025887"/>
    <w:rsid w:val="00025BAF"/>
    <w:rsid w:val="000271BE"/>
    <w:rsid w:val="00031672"/>
    <w:rsid w:val="00031A68"/>
    <w:rsid w:val="000321E7"/>
    <w:rsid w:val="00032785"/>
    <w:rsid w:val="00032F65"/>
    <w:rsid w:val="00033F9A"/>
    <w:rsid w:val="00033FA1"/>
    <w:rsid w:val="000356A9"/>
    <w:rsid w:val="0003657C"/>
    <w:rsid w:val="00041118"/>
    <w:rsid w:val="000422E2"/>
    <w:rsid w:val="000424C4"/>
    <w:rsid w:val="000435E7"/>
    <w:rsid w:val="000439FE"/>
    <w:rsid w:val="00044138"/>
    <w:rsid w:val="00044739"/>
    <w:rsid w:val="00044DBE"/>
    <w:rsid w:val="0004504F"/>
    <w:rsid w:val="00045667"/>
    <w:rsid w:val="0004708F"/>
    <w:rsid w:val="000471BC"/>
    <w:rsid w:val="0004766A"/>
    <w:rsid w:val="00050785"/>
    <w:rsid w:val="00050798"/>
    <w:rsid w:val="00051637"/>
    <w:rsid w:val="000525D4"/>
    <w:rsid w:val="0005349D"/>
    <w:rsid w:val="00054717"/>
    <w:rsid w:val="000555A2"/>
    <w:rsid w:val="00056681"/>
    <w:rsid w:val="00057646"/>
    <w:rsid w:val="00057B43"/>
    <w:rsid w:val="0006078C"/>
    <w:rsid w:val="00060BEF"/>
    <w:rsid w:val="00060E87"/>
    <w:rsid w:val="000626FC"/>
    <w:rsid w:val="00062D55"/>
    <w:rsid w:val="000645B7"/>
    <w:rsid w:val="000648A7"/>
    <w:rsid w:val="00064C41"/>
    <w:rsid w:val="00064CC9"/>
    <w:rsid w:val="00064EE1"/>
    <w:rsid w:val="0006618B"/>
    <w:rsid w:val="00066398"/>
    <w:rsid w:val="00066411"/>
    <w:rsid w:val="000665BC"/>
    <w:rsid w:val="00066A0F"/>
    <w:rsid w:val="000670C0"/>
    <w:rsid w:val="0006733C"/>
    <w:rsid w:val="0007185E"/>
    <w:rsid w:val="00071B99"/>
    <w:rsid w:val="00072655"/>
    <w:rsid w:val="0007289C"/>
    <w:rsid w:val="000756E5"/>
    <w:rsid w:val="0007607A"/>
    <w:rsid w:val="00076D41"/>
    <w:rsid w:val="00076EFA"/>
    <w:rsid w:val="0007704E"/>
    <w:rsid w:val="000778E9"/>
    <w:rsid w:val="000779B8"/>
    <w:rsid w:val="00080247"/>
    <w:rsid w:val="00080D60"/>
    <w:rsid w:val="00080EC8"/>
    <w:rsid w:val="000812BA"/>
    <w:rsid w:val="00081550"/>
    <w:rsid w:val="000828C5"/>
    <w:rsid w:val="00082AA0"/>
    <w:rsid w:val="000837D2"/>
    <w:rsid w:val="00085976"/>
    <w:rsid w:val="00085DEA"/>
    <w:rsid w:val="00086B33"/>
    <w:rsid w:val="00087ADA"/>
    <w:rsid w:val="00087F15"/>
    <w:rsid w:val="000901C9"/>
    <w:rsid w:val="000902F0"/>
    <w:rsid w:val="0009048F"/>
    <w:rsid w:val="00091577"/>
    <w:rsid w:val="00093812"/>
    <w:rsid w:val="00093A56"/>
    <w:rsid w:val="00093F77"/>
    <w:rsid w:val="00094118"/>
    <w:rsid w:val="000944AC"/>
    <w:rsid w:val="00094CB9"/>
    <w:rsid w:val="000956B2"/>
    <w:rsid w:val="00095A63"/>
    <w:rsid w:val="000969E7"/>
    <w:rsid w:val="00096E0C"/>
    <w:rsid w:val="000A0DC4"/>
    <w:rsid w:val="000A1BC4"/>
    <w:rsid w:val="000A1E6C"/>
    <w:rsid w:val="000A23DE"/>
    <w:rsid w:val="000A4020"/>
    <w:rsid w:val="000A4109"/>
    <w:rsid w:val="000A4308"/>
    <w:rsid w:val="000A4D2B"/>
    <w:rsid w:val="000A6808"/>
    <w:rsid w:val="000A73D6"/>
    <w:rsid w:val="000A77FE"/>
    <w:rsid w:val="000A7CB1"/>
    <w:rsid w:val="000B04CD"/>
    <w:rsid w:val="000B133E"/>
    <w:rsid w:val="000B27A5"/>
    <w:rsid w:val="000B3BE6"/>
    <w:rsid w:val="000B3DC8"/>
    <w:rsid w:val="000B49DF"/>
    <w:rsid w:val="000B54FB"/>
    <w:rsid w:val="000B5D78"/>
    <w:rsid w:val="000B625F"/>
    <w:rsid w:val="000B6799"/>
    <w:rsid w:val="000C10F0"/>
    <w:rsid w:val="000C18B8"/>
    <w:rsid w:val="000C2416"/>
    <w:rsid w:val="000C29B0"/>
    <w:rsid w:val="000C4A55"/>
    <w:rsid w:val="000C6D30"/>
    <w:rsid w:val="000C76FC"/>
    <w:rsid w:val="000C7CC0"/>
    <w:rsid w:val="000D08BB"/>
    <w:rsid w:val="000D14B1"/>
    <w:rsid w:val="000D2836"/>
    <w:rsid w:val="000D38FC"/>
    <w:rsid w:val="000D3F79"/>
    <w:rsid w:val="000D4189"/>
    <w:rsid w:val="000D4D90"/>
    <w:rsid w:val="000D4FA3"/>
    <w:rsid w:val="000D50F4"/>
    <w:rsid w:val="000D5487"/>
    <w:rsid w:val="000D6B32"/>
    <w:rsid w:val="000D707B"/>
    <w:rsid w:val="000D79EA"/>
    <w:rsid w:val="000D7B8B"/>
    <w:rsid w:val="000E1676"/>
    <w:rsid w:val="000E177D"/>
    <w:rsid w:val="000E2547"/>
    <w:rsid w:val="000E2D10"/>
    <w:rsid w:val="000E344F"/>
    <w:rsid w:val="000E498F"/>
    <w:rsid w:val="000E4E33"/>
    <w:rsid w:val="000E5549"/>
    <w:rsid w:val="000E5A2D"/>
    <w:rsid w:val="000E7F29"/>
    <w:rsid w:val="000F09A5"/>
    <w:rsid w:val="000F0F6A"/>
    <w:rsid w:val="000F17B0"/>
    <w:rsid w:val="000F1F61"/>
    <w:rsid w:val="000F2AD5"/>
    <w:rsid w:val="000F3204"/>
    <w:rsid w:val="000F3ED3"/>
    <w:rsid w:val="000F496A"/>
    <w:rsid w:val="000F5E6C"/>
    <w:rsid w:val="000F64E4"/>
    <w:rsid w:val="000F6D86"/>
    <w:rsid w:val="000F7BD6"/>
    <w:rsid w:val="001004FE"/>
    <w:rsid w:val="00101B3C"/>
    <w:rsid w:val="00102839"/>
    <w:rsid w:val="00103391"/>
    <w:rsid w:val="001041D7"/>
    <w:rsid w:val="0010548B"/>
    <w:rsid w:val="001056D7"/>
    <w:rsid w:val="00105A0C"/>
    <w:rsid w:val="00105DEC"/>
    <w:rsid w:val="0010694B"/>
    <w:rsid w:val="00106A32"/>
    <w:rsid w:val="00106CA7"/>
    <w:rsid w:val="001072D1"/>
    <w:rsid w:val="001120EF"/>
    <w:rsid w:val="00113F22"/>
    <w:rsid w:val="00113FAE"/>
    <w:rsid w:val="001140D5"/>
    <w:rsid w:val="00114680"/>
    <w:rsid w:val="00114992"/>
    <w:rsid w:val="00115192"/>
    <w:rsid w:val="00115805"/>
    <w:rsid w:val="00115C48"/>
    <w:rsid w:val="00116691"/>
    <w:rsid w:val="00117017"/>
    <w:rsid w:val="00117358"/>
    <w:rsid w:val="0012021C"/>
    <w:rsid w:val="001202DF"/>
    <w:rsid w:val="00120DB8"/>
    <w:rsid w:val="00121D6F"/>
    <w:rsid w:val="001229ED"/>
    <w:rsid w:val="00122AB3"/>
    <w:rsid w:val="00123731"/>
    <w:rsid w:val="0012527D"/>
    <w:rsid w:val="001264C5"/>
    <w:rsid w:val="001271DC"/>
    <w:rsid w:val="001304A7"/>
    <w:rsid w:val="00130DAD"/>
    <w:rsid w:val="00130E8E"/>
    <w:rsid w:val="001316BA"/>
    <w:rsid w:val="0013216E"/>
    <w:rsid w:val="00133303"/>
    <w:rsid w:val="00135A33"/>
    <w:rsid w:val="00135B26"/>
    <w:rsid w:val="00135BC8"/>
    <w:rsid w:val="0013712F"/>
    <w:rsid w:val="0013788C"/>
    <w:rsid w:val="001401B5"/>
    <w:rsid w:val="00140245"/>
    <w:rsid w:val="00140801"/>
    <w:rsid w:val="001410A7"/>
    <w:rsid w:val="001415A7"/>
    <w:rsid w:val="001422B9"/>
    <w:rsid w:val="001428CE"/>
    <w:rsid w:val="00143808"/>
    <w:rsid w:val="00143C43"/>
    <w:rsid w:val="00143E2F"/>
    <w:rsid w:val="00143FD8"/>
    <w:rsid w:val="00144160"/>
    <w:rsid w:val="00144346"/>
    <w:rsid w:val="0014665F"/>
    <w:rsid w:val="001479C0"/>
    <w:rsid w:val="00147CA4"/>
    <w:rsid w:val="001501FA"/>
    <w:rsid w:val="001505A0"/>
    <w:rsid w:val="00151207"/>
    <w:rsid w:val="00152275"/>
    <w:rsid w:val="0015266C"/>
    <w:rsid w:val="00153464"/>
    <w:rsid w:val="00153737"/>
    <w:rsid w:val="001541B3"/>
    <w:rsid w:val="001551A5"/>
    <w:rsid w:val="001559C3"/>
    <w:rsid w:val="00155B15"/>
    <w:rsid w:val="0015740A"/>
    <w:rsid w:val="001576C1"/>
    <w:rsid w:val="001601F8"/>
    <w:rsid w:val="0016053F"/>
    <w:rsid w:val="00160925"/>
    <w:rsid w:val="001625BE"/>
    <w:rsid w:val="00163601"/>
    <w:rsid w:val="001643A4"/>
    <w:rsid w:val="0016573C"/>
    <w:rsid w:val="001660DF"/>
    <w:rsid w:val="00166837"/>
    <w:rsid w:val="00166E11"/>
    <w:rsid w:val="0016704B"/>
    <w:rsid w:val="001679D9"/>
    <w:rsid w:val="0017092C"/>
    <w:rsid w:val="00171A60"/>
    <w:rsid w:val="001727BB"/>
    <w:rsid w:val="001729D4"/>
    <w:rsid w:val="00172D57"/>
    <w:rsid w:val="00173509"/>
    <w:rsid w:val="001735F7"/>
    <w:rsid w:val="001740E7"/>
    <w:rsid w:val="001744F8"/>
    <w:rsid w:val="001763D9"/>
    <w:rsid w:val="001768FA"/>
    <w:rsid w:val="001800DD"/>
    <w:rsid w:val="00180D25"/>
    <w:rsid w:val="00181AA6"/>
    <w:rsid w:val="00182DDD"/>
    <w:rsid w:val="0018318D"/>
    <w:rsid w:val="00183A59"/>
    <w:rsid w:val="00183E50"/>
    <w:rsid w:val="0018455F"/>
    <w:rsid w:val="00185236"/>
    <w:rsid w:val="001855D0"/>
    <w:rsid w:val="0018566E"/>
    <w:rsid w:val="0018572C"/>
    <w:rsid w:val="00186157"/>
    <w:rsid w:val="00186B68"/>
    <w:rsid w:val="00187E79"/>
    <w:rsid w:val="00187F0D"/>
    <w:rsid w:val="0019035F"/>
    <w:rsid w:val="00190550"/>
    <w:rsid w:val="00190A31"/>
    <w:rsid w:val="00190ABE"/>
    <w:rsid w:val="00192CC5"/>
    <w:rsid w:val="0019330E"/>
    <w:rsid w:val="001941FD"/>
    <w:rsid w:val="0019427C"/>
    <w:rsid w:val="00194DBF"/>
    <w:rsid w:val="001956A7"/>
    <w:rsid w:val="00195853"/>
    <w:rsid w:val="001962F0"/>
    <w:rsid w:val="001A0CC4"/>
    <w:rsid w:val="001A118A"/>
    <w:rsid w:val="001A2274"/>
    <w:rsid w:val="001A2570"/>
    <w:rsid w:val="001A2674"/>
    <w:rsid w:val="001A27B9"/>
    <w:rsid w:val="001A27F4"/>
    <w:rsid w:val="001A2D95"/>
    <w:rsid w:val="001A2E8B"/>
    <w:rsid w:val="001A33BE"/>
    <w:rsid w:val="001A40BB"/>
    <w:rsid w:val="001A5B6F"/>
    <w:rsid w:val="001A5F7B"/>
    <w:rsid w:val="001B196B"/>
    <w:rsid w:val="001B2223"/>
    <w:rsid w:val="001B2AD7"/>
    <w:rsid w:val="001B33EB"/>
    <w:rsid w:val="001B3460"/>
    <w:rsid w:val="001B4CA1"/>
    <w:rsid w:val="001B5FE3"/>
    <w:rsid w:val="001B6A05"/>
    <w:rsid w:val="001B75D8"/>
    <w:rsid w:val="001B7A0E"/>
    <w:rsid w:val="001C1060"/>
    <w:rsid w:val="001C24CF"/>
    <w:rsid w:val="001C2BB3"/>
    <w:rsid w:val="001C2CB0"/>
    <w:rsid w:val="001C312C"/>
    <w:rsid w:val="001C3C63"/>
    <w:rsid w:val="001C4B99"/>
    <w:rsid w:val="001C57C9"/>
    <w:rsid w:val="001C6088"/>
    <w:rsid w:val="001C7BC1"/>
    <w:rsid w:val="001D1101"/>
    <w:rsid w:val="001D164C"/>
    <w:rsid w:val="001D22DF"/>
    <w:rsid w:val="001D4732"/>
    <w:rsid w:val="001D47E8"/>
    <w:rsid w:val="001D4CD9"/>
    <w:rsid w:val="001D6A3C"/>
    <w:rsid w:val="001D6C6B"/>
    <w:rsid w:val="001D6D51"/>
    <w:rsid w:val="001D6EC8"/>
    <w:rsid w:val="001E061B"/>
    <w:rsid w:val="001E21C6"/>
    <w:rsid w:val="001E25C6"/>
    <w:rsid w:val="001E311A"/>
    <w:rsid w:val="001E3717"/>
    <w:rsid w:val="001E46B1"/>
    <w:rsid w:val="001E4D81"/>
    <w:rsid w:val="001E612E"/>
    <w:rsid w:val="001E699D"/>
    <w:rsid w:val="001F1F25"/>
    <w:rsid w:val="001F2F90"/>
    <w:rsid w:val="001F3B01"/>
    <w:rsid w:val="001F40FB"/>
    <w:rsid w:val="001F517F"/>
    <w:rsid w:val="001F652D"/>
    <w:rsid w:val="001F653A"/>
    <w:rsid w:val="001F6979"/>
    <w:rsid w:val="001F7640"/>
    <w:rsid w:val="00200324"/>
    <w:rsid w:val="002004B2"/>
    <w:rsid w:val="002020BA"/>
    <w:rsid w:val="00202BC6"/>
    <w:rsid w:val="00203AB2"/>
    <w:rsid w:val="00205141"/>
    <w:rsid w:val="0020516B"/>
    <w:rsid w:val="002053AD"/>
    <w:rsid w:val="00206B52"/>
    <w:rsid w:val="0021077C"/>
    <w:rsid w:val="00210E11"/>
    <w:rsid w:val="00212D5C"/>
    <w:rsid w:val="00213559"/>
    <w:rsid w:val="00213EFD"/>
    <w:rsid w:val="002142E3"/>
    <w:rsid w:val="00214A30"/>
    <w:rsid w:val="00214B0A"/>
    <w:rsid w:val="00216590"/>
    <w:rsid w:val="002167D5"/>
    <w:rsid w:val="0021680A"/>
    <w:rsid w:val="002172F1"/>
    <w:rsid w:val="00220018"/>
    <w:rsid w:val="00221F8E"/>
    <w:rsid w:val="00222819"/>
    <w:rsid w:val="00223C7B"/>
    <w:rsid w:val="00223D62"/>
    <w:rsid w:val="00224AB1"/>
    <w:rsid w:val="00225CBB"/>
    <w:rsid w:val="0022687A"/>
    <w:rsid w:val="00230129"/>
    <w:rsid w:val="00230728"/>
    <w:rsid w:val="00231076"/>
    <w:rsid w:val="00233621"/>
    <w:rsid w:val="00233F3C"/>
    <w:rsid w:val="00234040"/>
    <w:rsid w:val="00234093"/>
    <w:rsid w:val="00234A90"/>
    <w:rsid w:val="00234C4B"/>
    <w:rsid w:val="00235885"/>
    <w:rsid w:val="00235CD2"/>
    <w:rsid w:val="00235F31"/>
    <w:rsid w:val="002379D8"/>
    <w:rsid w:val="002401A0"/>
    <w:rsid w:val="00240C2C"/>
    <w:rsid w:val="002413A7"/>
    <w:rsid w:val="00241769"/>
    <w:rsid w:val="002419A1"/>
    <w:rsid w:val="00241A14"/>
    <w:rsid w:val="00241AF6"/>
    <w:rsid w:val="00241D3C"/>
    <w:rsid w:val="00241E31"/>
    <w:rsid w:val="0024370C"/>
    <w:rsid w:val="00243F7A"/>
    <w:rsid w:val="00244523"/>
    <w:rsid w:val="00244524"/>
    <w:rsid w:val="00244E31"/>
    <w:rsid w:val="002454F0"/>
    <w:rsid w:val="00245A3F"/>
    <w:rsid w:val="00250888"/>
    <w:rsid w:val="00250BFB"/>
    <w:rsid w:val="002524AA"/>
    <w:rsid w:val="00253E6F"/>
    <w:rsid w:val="002546B5"/>
    <w:rsid w:val="00254DED"/>
    <w:rsid w:val="00255157"/>
    <w:rsid w:val="00255619"/>
    <w:rsid w:val="00255DAD"/>
    <w:rsid w:val="00256108"/>
    <w:rsid w:val="0025612A"/>
    <w:rsid w:val="00257A75"/>
    <w:rsid w:val="00260368"/>
    <w:rsid w:val="00260F33"/>
    <w:rsid w:val="002613BD"/>
    <w:rsid w:val="00261C70"/>
    <w:rsid w:val="00261D7C"/>
    <w:rsid w:val="00261F59"/>
    <w:rsid w:val="002624F1"/>
    <w:rsid w:val="002632E1"/>
    <w:rsid w:val="002644A6"/>
    <w:rsid w:val="0026472E"/>
    <w:rsid w:val="002653E4"/>
    <w:rsid w:val="002655D3"/>
    <w:rsid w:val="00266B11"/>
    <w:rsid w:val="00266D05"/>
    <w:rsid w:val="00267107"/>
    <w:rsid w:val="00270C81"/>
    <w:rsid w:val="00270CA4"/>
    <w:rsid w:val="00271558"/>
    <w:rsid w:val="00272ADE"/>
    <w:rsid w:val="00273017"/>
    <w:rsid w:val="00273DCB"/>
    <w:rsid w:val="002740E5"/>
    <w:rsid w:val="00274862"/>
    <w:rsid w:val="00274BCA"/>
    <w:rsid w:val="002753E9"/>
    <w:rsid w:val="00276E3F"/>
    <w:rsid w:val="0028153B"/>
    <w:rsid w:val="0028214A"/>
    <w:rsid w:val="00282CF3"/>
    <w:rsid w:val="00282D72"/>
    <w:rsid w:val="00283402"/>
    <w:rsid w:val="00283A37"/>
    <w:rsid w:val="002845F5"/>
    <w:rsid w:val="00287710"/>
    <w:rsid w:val="00290AD0"/>
    <w:rsid w:val="00290FD6"/>
    <w:rsid w:val="00291B2C"/>
    <w:rsid w:val="00291DC8"/>
    <w:rsid w:val="00292B65"/>
    <w:rsid w:val="00294109"/>
    <w:rsid w:val="00294259"/>
    <w:rsid w:val="00294FD0"/>
    <w:rsid w:val="002A1045"/>
    <w:rsid w:val="002A12A7"/>
    <w:rsid w:val="002A14D7"/>
    <w:rsid w:val="002A189D"/>
    <w:rsid w:val="002A224C"/>
    <w:rsid w:val="002A2285"/>
    <w:rsid w:val="002A2BE6"/>
    <w:rsid w:val="002A2C81"/>
    <w:rsid w:val="002A3554"/>
    <w:rsid w:val="002A3727"/>
    <w:rsid w:val="002A3E48"/>
    <w:rsid w:val="002A5AA5"/>
    <w:rsid w:val="002A69C3"/>
    <w:rsid w:val="002A6D1A"/>
    <w:rsid w:val="002A7D64"/>
    <w:rsid w:val="002B0C47"/>
    <w:rsid w:val="002B0F2C"/>
    <w:rsid w:val="002B147C"/>
    <w:rsid w:val="002B1647"/>
    <w:rsid w:val="002B19B4"/>
    <w:rsid w:val="002B1D32"/>
    <w:rsid w:val="002B21A9"/>
    <w:rsid w:val="002B32ED"/>
    <w:rsid w:val="002B3A7D"/>
    <w:rsid w:val="002B3CD8"/>
    <w:rsid w:val="002B3D1A"/>
    <w:rsid w:val="002B4E08"/>
    <w:rsid w:val="002B5B04"/>
    <w:rsid w:val="002B6A15"/>
    <w:rsid w:val="002B7755"/>
    <w:rsid w:val="002C082C"/>
    <w:rsid w:val="002C27D0"/>
    <w:rsid w:val="002C2C9B"/>
    <w:rsid w:val="002C33F5"/>
    <w:rsid w:val="002C3D9D"/>
    <w:rsid w:val="002C4551"/>
    <w:rsid w:val="002C45EC"/>
    <w:rsid w:val="002C52AB"/>
    <w:rsid w:val="002C5B83"/>
    <w:rsid w:val="002C602E"/>
    <w:rsid w:val="002C7581"/>
    <w:rsid w:val="002D0747"/>
    <w:rsid w:val="002D101A"/>
    <w:rsid w:val="002D17D6"/>
    <w:rsid w:val="002D18D7"/>
    <w:rsid w:val="002D21CE"/>
    <w:rsid w:val="002D25A1"/>
    <w:rsid w:val="002D26F9"/>
    <w:rsid w:val="002D2A6D"/>
    <w:rsid w:val="002D389C"/>
    <w:rsid w:val="002D3E37"/>
    <w:rsid w:val="002D499E"/>
    <w:rsid w:val="002D4F0A"/>
    <w:rsid w:val="002D522D"/>
    <w:rsid w:val="002D5A37"/>
    <w:rsid w:val="002D5AD9"/>
    <w:rsid w:val="002D5B75"/>
    <w:rsid w:val="002D728C"/>
    <w:rsid w:val="002D76E4"/>
    <w:rsid w:val="002D7ACF"/>
    <w:rsid w:val="002D7FC1"/>
    <w:rsid w:val="002E0000"/>
    <w:rsid w:val="002E33DF"/>
    <w:rsid w:val="002E3DA3"/>
    <w:rsid w:val="002E450F"/>
    <w:rsid w:val="002E46EC"/>
    <w:rsid w:val="002E5595"/>
    <w:rsid w:val="002E6B38"/>
    <w:rsid w:val="002E6D63"/>
    <w:rsid w:val="002E6DAC"/>
    <w:rsid w:val="002E6E2B"/>
    <w:rsid w:val="002F0313"/>
    <w:rsid w:val="002F0459"/>
    <w:rsid w:val="002F1034"/>
    <w:rsid w:val="002F161B"/>
    <w:rsid w:val="002F206A"/>
    <w:rsid w:val="002F27E7"/>
    <w:rsid w:val="002F3979"/>
    <w:rsid w:val="002F4CA3"/>
    <w:rsid w:val="002F500B"/>
    <w:rsid w:val="003006DF"/>
    <w:rsid w:val="00300991"/>
    <w:rsid w:val="00300F2E"/>
    <w:rsid w:val="00300F6E"/>
    <w:rsid w:val="003014EC"/>
    <w:rsid w:val="00301959"/>
    <w:rsid w:val="00301C4B"/>
    <w:rsid w:val="00301C67"/>
    <w:rsid w:val="003022E4"/>
    <w:rsid w:val="003026FB"/>
    <w:rsid w:val="00302A59"/>
    <w:rsid w:val="00304A3B"/>
    <w:rsid w:val="00304CD9"/>
    <w:rsid w:val="003057D6"/>
    <w:rsid w:val="00305B8A"/>
    <w:rsid w:val="00307565"/>
    <w:rsid w:val="00307DBB"/>
    <w:rsid w:val="00310047"/>
    <w:rsid w:val="00310480"/>
    <w:rsid w:val="00310E03"/>
    <w:rsid w:val="00310EB4"/>
    <w:rsid w:val="0031394B"/>
    <w:rsid w:val="00313BD7"/>
    <w:rsid w:val="00313C11"/>
    <w:rsid w:val="003170C9"/>
    <w:rsid w:val="003178F1"/>
    <w:rsid w:val="00320302"/>
    <w:rsid w:val="00320DD1"/>
    <w:rsid w:val="00320EA8"/>
    <w:rsid w:val="00320EEA"/>
    <w:rsid w:val="00321659"/>
    <w:rsid w:val="00321DA8"/>
    <w:rsid w:val="003220F3"/>
    <w:rsid w:val="00322F29"/>
    <w:rsid w:val="003237D1"/>
    <w:rsid w:val="00323B15"/>
    <w:rsid w:val="00323FA8"/>
    <w:rsid w:val="00324408"/>
    <w:rsid w:val="00325140"/>
    <w:rsid w:val="00325A42"/>
    <w:rsid w:val="00326636"/>
    <w:rsid w:val="003268A0"/>
    <w:rsid w:val="00330C41"/>
    <w:rsid w:val="00331BF9"/>
    <w:rsid w:val="0033230B"/>
    <w:rsid w:val="0033303C"/>
    <w:rsid w:val="0033318C"/>
    <w:rsid w:val="003340C5"/>
    <w:rsid w:val="00334489"/>
    <w:rsid w:val="0033495E"/>
    <w:rsid w:val="00334A79"/>
    <w:rsid w:val="00334C47"/>
    <w:rsid w:val="00334D8D"/>
    <w:rsid w:val="00334DD1"/>
    <w:rsid w:val="003355D4"/>
    <w:rsid w:val="003365CA"/>
    <w:rsid w:val="00336EE1"/>
    <w:rsid w:val="00337345"/>
    <w:rsid w:val="00337DD2"/>
    <w:rsid w:val="00337FAC"/>
    <w:rsid w:val="003404D1"/>
    <w:rsid w:val="00343DD3"/>
    <w:rsid w:val="003441BA"/>
    <w:rsid w:val="003443FF"/>
    <w:rsid w:val="003453C1"/>
    <w:rsid w:val="00345733"/>
    <w:rsid w:val="00346283"/>
    <w:rsid w:val="003464F8"/>
    <w:rsid w:val="00347A76"/>
    <w:rsid w:val="0035041B"/>
    <w:rsid w:val="00351151"/>
    <w:rsid w:val="003514E3"/>
    <w:rsid w:val="00351AA7"/>
    <w:rsid w:val="00352F63"/>
    <w:rsid w:val="00353589"/>
    <w:rsid w:val="00354D19"/>
    <w:rsid w:val="00355808"/>
    <w:rsid w:val="00355E7F"/>
    <w:rsid w:val="003568CF"/>
    <w:rsid w:val="00360902"/>
    <w:rsid w:val="003620D0"/>
    <w:rsid w:val="00362354"/>
    <w:rsid w:val="00362C7E"/>
    <w:rsid w:val="00362D89"/>
    <w:rsid w:val="00363309"/>
    <w:rsid w:val="00363601"/>
    <w:rsid w:val="00364587"/>
    <w:rsid w:val="00366250"/>
    <w:rsid w:val="00367685"/>
    <w:rsid w:val="00367CB9"/>
    <w:rsid w:val="00370729"/>
    <w:rsid w:val="00370F1C"/>
    <w:rsid w:val="00372E43"/>
    <w:rsid w:val="003730A4"/>
    <w:rsid w:val="0037312F"/>
    <w:rsid w:val="00373546"/>
    <w:rsid w:val="00373A5B"/>
    <w:rsid w:val="00373EDE"/>
    <w:rsid w:val="003751D2"/>
    <w:rsid w:val="00376AC9"/>
    <w:rsid w:val="00377F39"/>
    <w:rsid w:val="00381F9F"/>
    <w:rsid w:val="003826DB"/>
    <w:rsid w:val="00382DF8"/>
    <w:rsid w:val="00383767"/>
    <w:rsid w:val="00383A37"/>
    <w:rsid w:val="0038470F"/>
    <w:rsid w:val="00384BDD"/>
    <w:rsid w:val="00384D5E"/>
    <w:rsid w:val="00386369"/>
    <w:rsid w:val="0038682E"/>
    <w:rsid w:val="00387B8B"/>
    <w:rsid w:val="00387D6E"/>
    <w:rsid w:val="00391BC4"/>
    <w:rsid w:val="003921BD"/>
    <w:rsid w:val="00392549"/>
    <w:rsid w:val="00392888"/>
    <w:rsid w:val="00392F08"/>
    <w:rsid w:val="00393032"/>
    <w:rsid w:val="00393364"/>
    <w:rsid w:val="003945C4"/>
    <w:rsid w:val="00394B69"/>
    <w:rsid w:val="00395630"/>
    <w:rsid w:val="00395C5A"/>
    <w:rsid w:val="00396B1E"/>
    <w:rsid w:val="00397078"/>
    <w:rsid w:val="003A1FEA"/>
    <w:rsid w:val="003A2094"/>
    <w:rsid w:val="003A3116"/>
    <w:rsid w:val="003A3152"/>
    <w:rsid w:val="003A32DF"/>
    <w:rsid w:val="003A4425"/>
    <w:rsid w:val="003A4A1F"/>
    <w:rsid w:val="003A4D47"/>
    <w:rsid w:val="003A6953"/>
    <w:rsid w:val="003A7437"/>
    <w:rsid w:val="003A7A73"/>
    <w:rsid w:val="003A7B8E"/>
    <w:rsid w:val="003A7C1E"/>
    <w:rsid w:val="003B02BA"/>
    <w:rsid w:val="003B03AB"/>
    <w:rsid w:val="003B03D6"/>
    <w:rsid w:val="003B2324"/>
    <w:rsid w:val="003B4353"/>
    <w:rsid w:val="003B6083"/>
    <w:rsid w:val="003B6F02"/>
    <w:rsid w:val="003B70DF"/>
    <w:rsid w:val="003B78FC"/>
    <w:rsid w:val="003B7EB3"/>
    <w:rsid w:val="003C0DB4"/>
    <w:rsid w:val="003C1544"/>
    <w:rsid w:val="003C3838"/>
    <w:rsid w:val="003C3BB3"/>
    <w:rsid w:val="003C4027"/>
    <w:rsid w:val="003C5847"/>
    <w:rsid w:val="003C787D"/>
    <w:rsid w:val="003C7E2A"/>
    <w:rsid w:val="003D0681"/>
    <w:rsid w:val="003D1011"/>
    <w:rsid w:val="003D12F6"/>
    <w:rsid w:val="003D1426"/>
    <w:rsid w:val="003D1ABB"/>
    <w:rsid w:val="003D317D"/>
    <w:rsid w:val="003D3D55"/>
    <w:rsid w:val="003D57D7"/>
    <w:rsid w:val="003D61B6"/>
    <w:rsid w:val="003D7A01"/>
    <w:rsid w:val="003E131E"/>
    <w:rsid w:val="003E23B6"/>
    <w:rsid w:val="003E23D2"/>
    <w:rsid w:val="003E2F4E"/>
    <w:rsid w:val="003E3B93"/>
    <w:rsid w:val="003E5759"/>
    <w:rsid w:val="003E5AE1"/>
    <w:rsid w:val="003E720A"/>
    <w:rsid w:val="003F1201"/>
    <w:rsid w:val="003F1891"/>
    <w:rsid w:val="003F1901"/>
    <w:rsid w:val="003F1B7B"/>
    <w:rsid w:val="003F2A2D"/>
    <w:rsid w:val="003F2BDD"/>
    <w:rsid w:val="003F48AB"/>
    <w:rsid w:val="003F735E"/>
    <w:rsid w:val="003F7626"/>
    <w:rsid w:val="004005B9"/>
    <w:rsid w:val="004006CE"/>
    <w:rsid w:val="0040133F"/>
    <w:rsid w:val="00402DF3"/>
    <w:rsid w:val="0040388B"/>
    <w:rsid w:val="00403E6E"/>
    <w:rsid w:val="0040475D"/>
    <w:rsid w:val="004057C2"/>
    <w:rsid w:val="00405B6B"/>
    <w:rsid w:val="004070BB"/>
    <w:rsid w:val="004073B5"/>
    <w:rsid w:val="00407661"/>
    <w:rsid w:val="00410180"/>
    <w:rsid w:val="00411329"/>
    <w:rsid w:val="004114EB"/>
    <w:rsid w:val="004129B4"/>
    <w:rsid w:val="0041656A"/>
    <w:rsid w:val="00416E58"/>
    <w:rsid w:val="00417EF0"/>
    <w:rsid w:val="004201E1"/>
    <w:rsid w:val="00421229"/>
    <w:rsid w:val="004212C7"/>
    <w:rsid w:val="00421479"/>
    <w:rsid w:val="00422181"/>
    <w:rsid w:val="00423DEA"/>
    <w:rsid w:val="004242A7"/>
    <w:rsid w:val="004244A8"/>
    <w:rsid w:val="0042556C"/>
    <w:rsid w:val="00425E03"/>
    <w:rsid w:val="00425F56"/>
    <w:rsid w:val="00425F72"/>
    <w:rsid w:val="0042603A"/>
    <w:rsid w:val="00426596"/>
    <w:rsid w:val="00427736"/>
    <w:rsid w:val="0042778E"/>
    <w:rsid w:val="004304FA"/>
    <w:rsid w:val="0043067B"/>
    <w:rsid w:val="0043073C"/>
    <w:rsid w:val="00430B3E"/>
    <w:rsid w:val="0043260E"/>
    <w:rsid w:val="0043333A"/>
    <w:rsid w:val="00434D80"/>
    <w:rsid w:val="004358AF"/>
    <w:rsid w:val="004370E2"/>
    <w:rsid w:val="00437B2F"/>
    <w:rsid w:val="004409AD"/>
    <w:rsid w:val="004414F8"/>
    <w:rsid w:val="0044159D"/>
    <w:rsid w:val="00441787"/>
    <w:rsid w:val="00441827"/>
    <w:rsid w:val="0044225F"/>
    <w:rsid w:val="00442C65"/>
    <w:rsid w:val="004443F3"/>
    <w:rsid w:val="00444EC5"/>
    <w:rsid w:val="00444F2D"/>
    <w:rsid w:val="004455D8"/>
    <w:rsid w:val="0044573C"/>
    <w:rsid w:val="00445CA8"/>
    <w:rsid w:val="00447110"/>
    <w:rsid w:val="00447493"/>
    <w:rsid w:val="00447B1F"/>
    <w:rsid w:val="00447C42"/>
    <w:rsid w:val="00450F28"/>
    <w:rsid w:val="00451D67"/>
    <w:rsid w:val="00452034"/>
    <w:rsid w:val="00453FFD"/>
    <w:rsid w:val="00454949"/>
    <w:rsid w:val="004549F7"/>
    <w:rsid w:val="00454C07"/>
    <w:rsid w:val="00455CE2"/>
    <w:rsid w:val="00455FA6"/>
    <w:rsid w:val="00457EA2"/>
    <w:rsid w:val="00457F10"/>
    <w:rsid w:val="00460B7D"/>
    <w:rsid w:val="00460BAA"/>
    <w:rsid w:val="0046166C"/>
    <w:rsid w:val="00461877"/>
    <w:rsid w:val="00461A1C"/>
    <w:rsid w:val="00464823"/>
    <w:rsid w:val="00464CD6"/>
    <w:rsid w:val="00464DD6"/>
    <w:rsid w:val="00465E36"/>
    <w:rsid w:val="00466321"/>
    <w:rsid w:val="00466C70"/>
    <w:rsid w:val="00466C88"/>
    <w:rsid w:val="00466CE0"/>
    <w:rsid w:val="00467D13"/>
    <w:rsid w:val="00470260"/>
    <w:rsid w:val="004702C9"/>
    <w:rsid w:val="00471F91"/>
    <w:rsid w:val="00472366"/>
    <w:rsid w:val="00472E45"/>
    <w:rsid w:val="00472FC0"/>
    <w:rsid w:val="004731BD"/>
    <w:rsid w:val="004733BD"/>
    <w:rsid w:val="00473FEA"/>
    <w:rsid w:val="00474366"/>
    <w:rsid w:val="00475010"/>
    <w:rsid w:val="0047579D"/>
    <w:rsid w:val="00476693"/>
    <w:rsid w:val="00476E49"/>
    <w:rsid w:val="00477202"/>
    <w:rsid w:val="00480EA4"/>
    <w:rsid w:val="00481B23"/>
    <w:rsid w:val="00483262"/>
    <w:rsid w:val="004835B8"/>
    <w:rsid w:val="00483A28"/>
    <w:rsid w:val="00484107"/>
    <w:rsid w:val="004841BF"/>
    <w:rsid w:val="00485CC5"/>
    <w:rsid w:val="00490068"/>
    <w:rsid w:val="004926F4"/>
    <w:rsid w:val="00492F80"/>
    <w:rsid w:val="0049315F"/>
    <w:rsid w:val="0049343F"/>
    <w:rsid w:val="00493488"/>
    <w:rsid w:val="00493517"/>
    <w:rsid w:val="00493700"/>
    <w:rsid w:val="00493C9F"/>
    <w:rsid w:val="00493D45"/>
    <w:rsid w:val="00493D4D"/>
    <w:rsid w:val="0049498D"/>
    <w:rsid w:val="00494D72"/>
    <w:rsid w:val="00494E58"/>
    <w:rsid w:val="004956D9"/>
    <w:rsid w:val="004964FC"/>
    <w:rsid w:val="00496C89"/>
    <w:rsid w:val="004A145E"/>
    <w:rsid w:val="004A1C9A"/>
    <w:rsid w:val="004A1F15"/>
    <w:rsid w:val="004A2A81"/>
    <w:rsid w:val="004A2ADB"/>
    <w:rsid w:val="004A370B"/>
    <w:rsid w:val="004A47E0"/>
    <w:rsid w:val="004A5275"/>
    <w:rsid w:val="004A56EC"/>
    <w:rsid w:val="004A61A5"/>
    <w:rsid w:val="004A7551"/>
    <w:rsid w:val="004A7BD7"/>
    <w:rsid w:val="004B0BEA"/>
    <w:rsid w:val="004B0EA4"/>
    <w:rsid w:val="004B254B"/>
    <w:rsid w:val="004B3302"/>
    <w:rsid w:val="004B3B89"/>
    <w:rsid w:val="004B3B92"/>
    <w:rsid w:val="004B4580"/>
    <w:rsid w:val="004B458B"/>
    <w:rsid w:val="004B5018"/>
    <w:rsid w:val="004B61E6"/>
    <w:rsid w:val="004B67F4"/>
    <w:rsid w:val="004B7CFF"/>
    <w:rsid w:val="004C00E6"/>
    <w:rsid w:val="004C0172"/>
    <w:rsid w:val="004C0FDD"/>
    <w:rsid w:val="004C15C2"/>
    <w:rsid w:val="004C1846"/>
    <w:rsid w:val="004C1B99"/>
    <w:rsid w:val="004C24DC"/>
    <w:rsid w:val="004C36D8"/>
    <w:rsid w:val="004C47B5"/>
    <w:rsid w:val="004C4D8B"/>
    <w:rsid w:val="004C50FD"/>
    <w:rsid w:val="004C6342"/>
    <w:rsid w:val="004C6A0C"/>
    <w:rsid w:val="004C6BDE"/>
    <w:rsid w:val="004C72E4"/>
    <w:rsid w:val="004C7C6C"/>
    <w:rsid w:val="004D071E"/>
    <w:rsid w:val="004D0EFC"/>
    <w:rsid w:val="004D1248"/>
    <w:rsid w:val="004D1547"/>
    <w:rsid w:val="004D1A7D"/>
    <w:rsid w:val="004D1E1C"/>
    <w:rsid w:val="004D1E3C"/>
    <w:rsid w:val="004D212A"/>
    <w:rsid w:val="004D2201"/>
    <w:rsid w:val="004D2B10"/>
    <w:rsid w:val="004D4169"/>
    <w:rsid w:val="004D45AE"/>
    <w:rsid w:val="004D5648"/>
    <w:rsid w:val="004D56EA"/>
    <w:rsid w:val="004D5B23"/>
    <w:rsid w:val="004D5CB7"/>
    <w:rsid w:val="004D6AD9"/>
    <w:rsid w:val="004D6B40"/>
    <w:rsid w:val="004D6C3B"/>
    <w:rsid w:val="004D6E14"/>
    <w:rsid w:val="004E05BB"/>
    <w:rsid w:val="004E0907"/>
    <w:rsid w:val="004E0948"/>
    <w:rsid w:val="004E22DB"/>
    <w:rsid w:val="004E27AE"/>
    <w:rsid w:val="004E2ABD"/>
    <w:rsid w:val="004E2EBC"/>
    <w:rsid w:val="004E36E1"/>
    <w:rsid w:val="004E3877"/>
    <w:rsid w:val="004E3FCE"/>
    <w:rsid w:val="004E6D81"/>
    <w:rsid w:val="004E7624"/>
    <w:rsid w:val="004E7B29"/>
    <w:rsid w:val="004E7BA9"/>
    <w:rsid w:val="004F0180"/>
    <w:rsid w:val="004F02C5"/>
    <w:rsid w:val="004F0308"/>
    <w:rsid w:val="004F09CF"/>
    <w:rsid w:val="004F0B44"/>
    <w:rsid w:val="004F0B7E"/>
    <w:rsid w:val="004F337C"/>
    <w:rsid w:val="004F3AB4"/>
    <w:rsid w:val="004F4E17"/>
    <w:rsid w:val="004F5ABA"/>
    <w:rsid w:val="004F5B66"/>
    <w:rsid w:val="004F5C82"/>
    <w:rsid w:val="004F5D59"/>
    <w:rsid w:val="004F64F9"/>
    <w:rsid w:val="004F6E1E"/>
    <w:rsid w:val="004F78B6"/>
    <w:rsid w:val="0050082F"/>
    <w:rsid w:val="00500C56"/>
    <w:rsid w:val="00501713"/>
    <w:rsid w:val="00502C6C"/>
    <w:rsid w:val="005038D2"/>
    <w:rsid w:val="005038FA"/>
    <w:rsid w:val="00503B79"/>
    <w:rsid w:val="005047A4"/>
    <w:rsid w:val="0050483D"/>
    <w:rsid w:val="00504F2F"/>
    <w:rsid w:val="00505274"/>
    <w:rsid w:val="00506568"/>
    <w:rsid w:val="0050700D"/>
    <w:rsid w:val="00507900"/>
    <w:rsid w:val="0051064B"/>
    <w:rsid w:val="00510A37"/>
    <w:rsid w:val="00511964"/>
    <w:rsid w:val="00512958"/>
    <w:rsid w:val="00512BED"/>
    <w:rsid w:val="00512EA0"/>
    <w:rsid w:val="005130DB"/>
    <w:rsid w:val="005148C3"/>
    <w:rsid w:val="005150A2"/>
    <w:rsid w:val="0051551B"/>
    <w:rsid w:val="005158C8"/>
    <w:rsid w:val="00516739"/>
    <w:rsid w:val="00516D0E"/>
    <w:rsid w:val="00517780"/>
    <w:rsid w:val="00520295"/>
    <w:rsid w:val="00520C57"/>
    <w:rsid w:val="005219B1"/>
    <w:rsid w:val="00522D94"/>
    <w:rsid w:val="005236FF"/>
    <w:rsid w:val="00524737"/>
    <w:rsid w:val="00524AE7"/>
    <w:rsid w:val="00525A07"/>
    <w:rsid w:val="00525AB6"/>
    <w:rsid w:val="00525FD2"/>
    <w:rsid w:val="00526F3D"/>
    <w:rsid w:val="00527939"/>
    <w:rsid w:val="00527BF8"/>
    <w:rsid w:val="0053069E"/>
    <w:rsid w:val="005309E8"/>
    <w:rsid w:val="005333D1"/>
    <w:rsid w:val="005333E3"/>
    <w:rsid w:val="005337BC"/>
    <w:rsid w:val="00533D89"/>
    <w:rsid w:val="00534378"/>
    <w:rsid w:val="00536564"/>
    <w:rsid w:val="00536638"/>
    <w:rsid w:val="005375F4"/>
    <w:rsid w:val="005410E3"/>
    <w:rsid w:val="00541DBB"/>
    <w:rsid w:val="0054389A"/>
    <w:rsid w:val="00543A07"/>
    <w:rsid w:val="00543EC4"/>
    <w:rsid w:val="00544597"/>
    <w:rsid w:val="00544FFE"/>
    <w:rsid w:val="005462B2"/>
    <w:rsid w:val="00546533"/>
    <w:rsid w:val="00547155"/>
    <w:rsid w:val="005473F5"/>
    <w:rsid w:val="005477E7"/>
    <w:rsid w:val="00550AB6"/>
    <w:rsid w:val="00551C14"/>
    <w:rsid w:val="005520E7"/>
    <w:rsid w:val="00552794"/>
    <w:rsid w:val="00552F2F"/>
    <w:rsid w:val="005535CC"/>
    <w:rsid w:val="00553A1A"/>
    <w:rsid w:val="00554370"/>
    <w:rsid w:val="005543F4"/>
    <w:rsid w:val="00554EAC"/>
    <w:rsid w:val="00554FBC"/>
    <w:rsid w:val="00556207"/>
    <w:rsid w:val="0055673F"/>
    <w:rsid w:val="00557CE8"/>
    <w:rsid w:val="00560C15"/>
    <w:rsid w:val="00561AF6"/>
    <w:rsid w:val="00563199"/>
    <w:rsid w:val="0056330C"/>
    <w:rsid w:val="00563D3F"/>
    <w:rsid w:val="00563E85"/>
    <w:rsid w:val="005640D2"/>
    <w:rsid w:val="00564874"/>
    <w:rsid w:val="00564A93"/>
    <w:rsid w:val="00564BDB"/>
    <w:rsid w:val="00565A76"/>
    <w:rsid w:val="005666E8"/>
    <w:rsid w:val="00566976"/>
    <w:rsid w:val="0056720B"/>
    <w:rsid w:val="00567963"/>
    <w:rsid w:val="00570012"/>
    <w:rsid w:val="0057009A"/>
    <w:rsid w:val="00571260"/>
    <w:rsid w:val="005714EE"/>
    <w:rsid w:val="0057189C"/>
    <w:rsid w:val="00572A5D"/>
    <w:rsid w:val="00572FB2"/>
    <w:rsid w:val="00573FC1"/>
    <w:rsid w:val="005741EE"/>
    <w:rsid w:val="0057668E"/>
    <w:rsid w:val="00580239"/>
    <w:rsid w:val="00581E0E"/>
    <w:rsid w:val="00581F6F"/>
    <w:rsid w:val="005862D2"/>
    <w:rsid w:val="00587ADA"/>
    <w:rsid w:val="00591BC3"/>
    <w:rsid w:val="00591EB9"/>
    <w:rsid w:val="00593366"/>
    <w:rsid w:val="00593EEC"/>
    <w:rsid w:val="005946F6"/>
    <w:rsid w:val="00595E83"/>
    <w:rsid w:val="00596530"/>
    <w:rsid w:val="005967F3"/>
    <w:rsid w:val="0059720F"/>
    <w:rsid w:val="00597419"/>
    <w:rsid w:val="005A06DF"/>
    <w:rsid w:val="005A22ED"/>
    <w:rsid w:val="005A2434"/>
    <w:rsid w:val="005A2EC4"/>
    <w:rsid w:val="005A3636"/>
    <w:rsid w:val="005A442C"/>
    <w:rsid w:val="005A5527"/>
    <w:rsid w:val="005A5AE6"/>
    <w:rsid w:val="005A707A"/>
    <w:rsid w:val="005A74EF"/>
    <w:rsid w:val="005B1206"/>
    <w:rsid w:val="005B13D8"/>
    <w:rsid w:val="005B18B3"/>
    <w:rsid w:val="005B26BC"/>
    <w:rsid w:val="005B37E8"/>
    <w:rsid w:val="005B6125"/>
    <w:rsid w:val="005B6AB7"/>
    <w:rsid w:val="005B738B"/>
    <w:rsid w:val="005C0056"/>
    <w:rsid w:val="005C087E"/>
    <w:rsid w:val="005C0D7B"/>
    <w:rsid w:val="005C0F80"/>
    <w:rsid w:val="005C11D3"/>
    <w:rsid w:val="005C1861"/>
    <w:rsid w:val="005C1F40"/>
    <w:rsid w:val="005C4A19"/>
    <w:rsid w:val="005C5AAC"/>
    <w:rsid w:val="005C62BE"/>
    <w:rsid w:val="005C7E7D"/>
    <w:rsid w:val="005D08C4"/>
    <w:rsid w:val="005D10E4"/>
    <w:rsid w:val="005D3A11"/>
    <w:rsid w:val="005D3E91"/>
    <w:rsid w:val="005D3EBC"/>
    <w:rsid w:val="005D454E"/>
    <w:rsid w:val="005D4DC1"/>
    <w:rsid w:val="005D5BC9"/>
    <w:rsid w:val="005D61D6"/>
    <w:rsid w:val="005E0D13"/>
    <w:rsid w:val="005E1819"/>
    <w:rsid w:val="005E1B8D"/>
    <w:rsid w:val="005E3F64"/>
    <w:rsid w:val="005E4C78"/>
    <w:rsid w:val="005E5047"/>
    <w:rsid w:val="005E568D"/>
    <w:rsid w:val="005E5A03"/>
    <w:rsid w:val="005E6D04"/>
    <w:rsid w:val="005E7205"/>
    <w:rsid w:val="005E7371"/>
    <w:rsid w:val="005E7C4D"/>
    <w:rsid w:val="005F10F7"/>
    <w:rsid w:val="005F116C"/>
    <w:rsid w:val="005F1C85"/>
    <w:rsid w:val="005F2131"/>
    <w:rsid w:val="005F2585"/>
    <w:rsid w:val="005F317E"/>
    <w:rsid w:val="005F5C39"/>
    <w:rsid w:val="005F6474"/>
    <w:rsid w:val="005F66C3"/>
    <w:rsid w:val="005F69D8"/>
    <w:rsid w:val="0060031F"/>
    <w:rsid w:val="006003D4"/>
    <w:rsid w:val="006011F9"/>
    <w:rsid w:val="006015E3"/>
    <w:rsid w:val="006023C6"/>
    <w:rsid w:val="006025C7"/>
    <w:rsid w:val="00602B26"/>
    <w:rsid w:val="00603613"/>
    <w:rsid w:val="00603B1C"/>
    <w:rsid w:val="0060415A"/>
    <w:rsid w:val="00604E33"/>
    <w:rsid w:val="00605A9C"/>
    <w:rsid w:val="00605CFF"/>
    <w:rsid w:val="00605EF6"/>
    <w:rsid w:val="00606455"/>
    <w:rsid w:val="00607518"/>
    <w:rsid w:val="00607943"/>
    <w:rsid w:val="00610FB9"/>
    <w:rsid w:val="0061120B"/>
    <w:rsid w:val="00611BCB"/>
    <w:rsid w:val="00611C4F"/>
    <w:rsid w:val="00612720"/>
    <w:rsid w:val="00613236"/>
    <w:rsid w:val="006136A8"/>
    <w:rsid w:val="00614929"/>
    <w:rsid w:val="006152C0"/>
    <w:rsid w:val="00615C51"/>
    <w:rsid w:val="00616499"/>
    <w:rsid w:val="00616511"/>
    <w:rsid w:val="006171FE"/>
    <w:rsid w:val="006176ED"/>
    <w:rsid w:val="006202F3"/>
    <w:rsid w:val="0062097A"/>
    <w:rsid w:val="006211A0"/>
    <w:rsid w:val="00621DA6"/>
    <w:rsid w:val="00622749"/>
    <w:rsid w:val="00622798"/>
    <w:rsid w:val="00623A9E"/>
    <w:rsid w:val="00623CFE"/>
    <w:rsid w:val="00625F53"/>
    <w:rsid w:val="00626DB0"/>
    <w:rsid w:val="00627042"/>
    <w:rsid w:val="00627221"/>
    <w:rsid w:val="00627EE8"/>
    <w:rsid w:val="00630590"/>
    <w:rsid w:val="00630AD0"/>
    <w:rsid w:val="00630D3D"/>
    <w:rsid w:val="006312CA"/>
    <w:rsid w:val="006316FA"/>
    <w:rsid w:val="0063191B"/>
    <w:rsid w:val="00632BB3"/>
    <w:rsid w:val="006334F4"/>
    <w:rsid w:val="006339D9"/>
    <w:rsid w:val="00633FAA"/>
    <w:rsid w:val="006344A3"/>
    <w:rsid w:val="00634EE5"/>
    <w:rsid w:val="00635F63"/>
    <w:rsid w:val="006370D2"/>
    <w:rsid w:val="00637714"/>
    <w:rsid w:val="006379B2"/>
    <w:rsid w:val="00637E2B"/>
    <w:rsid w:val="006403F3"/>
    <w:rsid w:val="0064074F"/>
    <w:rsid w:val="00641052"/>
    <w:rsid w:val="00641E25"/>
    <w:rsid w:val="00641F55"/>
    <w:rsid w:val="006429DA"/>
    <w:rsid w:val="00643EC5"/>
    <w:rsid w:val="00644A36"/>
    <w:rsid w:val="00645703"/>
    <w:rsid w:val="00645E4A"/>
    <w:rsid w:val="00647064"/>
    <w:rsid w:val="00647181"/>
    <w:rsid w:val="00647DE5"/>
    <w:rsid w:val="00651CEA"/>
    <w:rsid w:val="00652656"/>
    <w:rsid w:val="00653688"/>
    <w:rsid w:val="006549F5"/>
    <w:rsid w:val="00655047"/>
    <w:rsid w:val="00657001"/>
    <w:rsid w:val="0066091B"/>
    <w:rsid w:val="00661CBF"/>
    <w:rsid w:val="00663FA5"/>
    <w:rsid w:val="0066490E"/>
    <w:rsid w:val="00665118"/>
    <w:rsid w:val="006659D1"/>
    <w:rsid w:val="006660E9"/>
    <w:rsid w:val="00667249"/>
    <w:rsid w:val="00667558"/>
    <w:rsid w:val="006677A8"/>
    <w:rsid w:val="00667B51"/>
    <w:rsid w:val="00671523"/>
    <w:rsid w:val="00671690"/>
    <w:rsid w:val="00671B1A"/>
    <w:rsid w:val="00671FF2"/>
    <w:rsid w:val="006722DD"/>
    <w:rsid w:val="00672766"/>
    <w:rsid w:val="00672B43"/>
    <w:rsid w:val="00673618"/>
    <w:rsid w:val="00673E89"/>
    <w:rsid w:val="006742D7"/>
    <w:rsid w:val="006749A6"/>
    <w:rsid w:val="006754EF"/>
    <w:rsid w:val="00676AE9"/>
    <w:rsid w:val="00676C8D"/>
    <w:rsid w:val="00676ED1"/>
    <w:rsid w:val="00676F1F"/>
    <w:rsid w:val="00677381"/>
    <w:rsid w:val="00677414"/>
    <w:rsid w:val="00680246"/>
    <w:rsid w:val="00680475"/>
    <w:rsid w:val="00680C69"/>
    <w:rsid w:val="00682157"/>
    <w:rsid w:val="00682403"/>
    <w:rsid w:val="006832CF"/>
    <w:rsid w:val="00683A53"/>
    <w:rsid w:val="00683EC6"/>
    <w:rsid w:val="00684436"/>
    <w:rsid w:val="00684E89"/>
    <w:rsid w:val="0068601E"/>
    <w:rsid w:val="00686FEB"/>
    <w:rsid w:val="00687093"/>
    <w:rsid w:val="00687CDB"/>
    <w:rsid w:val="00690B89"/>
    <w:rsid w:val="006910B3"/>
    <w:rsid w:val="006938D6"/>
    <w:rsid w:val="00693AE4"/>
    <w:rsid w:val="006942CA"/>
    <w:rsid w:val="0069486B"/>
    <w:rsid w:val="00695280"/>
    <w:rsid w:val="00697AEC"/>
    <w:rsid w:val="006A069A"/>
    <w:rsid w:val="006A0D49"/>
    <w:rsid w:val="006A1E50"/>
    <w:rsid w:val="006A24DA"/>
    <w:rsid w:val="006A32BA"/>
    <w:rsid w:val="006A437E"/>
    <w:rsid w:val="006A4904"/>
    <w:rsid w:val="006A4AC0"/>
    <w:rsid w:val="006A4F1B"/>
    <w:rsid w:val="006A4F30"/>
    <w:rsid w:val="006A536A"/>
    <w:rsid w:val="006A548F"/>
    <w:rsid w:val="006A571D"/>
    <w:rsid w:val="006A62BD"/>
    <w:rsid w:val="006A701A"/>
    <w:rsid w:val="006A72CE"/>
    <w:rsid w:val="006B0D5B"/>
    <w:rsid w:val="006B0F1D"/>
    <w:rsid w:val="006B242A"/>
    <w:rsid w:val="006B25B7"/>
    <w:rsid w:val="006B3770"/>
    <w:rsid w:val="006B64DC"/>
    <w:rsid w:val="006B7A91"/>
    <w:rsid w:val="006C01DB"/>
    <w:rsid w:val="006C099C"/>
    <w:rsid w:val="006C0E07"/>
    <w:rsid w:val="006C1448"/>
    <w:rsid w:val="006C1BC1"/>
    <w:rsid w:val="006C2E08"/>
    <w:rsid w:val="006C5382"/>
    <w:rsid w:val="006C77F2"/>
    <w:rsid w:val="006C7A80"/>
    <w:rsid w:val="006D032E"/>
    <w:rsid w:val="006D09BC"/>
    <w:rsid w:val="006D0C81"/>
    <w:rsid w:val="006D1294"/>
    <w:rsid w:val="006D1CFE"/>
    <w:rsid w:val="006D31EC"/>
    <w:rsid w:val="006D31F1"/>
    <w:rsid w:val="006D4704"/>
    <w:rsid w:val="006D56AA"/>
    <w:rsid w:val="006D6A2D"/>
    <w:rsid w:val="006D71EF"/>
    <w:rsid w:val="006E1E18"/>
    <w:rsid w:val="006E2944"/>
    <w:rsid w:val="006E31B0"/>
    <w:rsid w:val="006E31CE"/>
    <w:rsid w:val="006E339B"/>
    <w:rsid w:val="006E34D3"/>
    <w:rsid w:val="006E36D7"/>
    <w:rsid w:val="006E4057"/>
    <w:rsid w:val="006E44BA"/>
    <w:rsid w:val="006E5DCE"/>
    <w:rsid w:val="006E6366"/>
    <w:rsid w:val="006E642B"/>
    <w:rsid w:val="006E6866"/>
    <w:rsid w:val="006E6B39"/>
    <w:rsid w:val="006E7945"/>
    <w:rsid w:val="006E7E7E"/>
    <w:rsid w:val="006F0F99"/>
    <w:rsid w:val="006F1435"/>
    <w:rsid w:val="006F1DF7"/>
    <w:rsid w:val="006F2558"/>
    <w:rsid w:val="006F3AEC"/>
    <w:rsid w:val="006F45A6"/>
    <w:rsid w:val="006F578D"/>
    <w:rsid w:val="006F596F"/>
    <w:rsid w:val="006F5B91"/>
    <w:rsid w:val="006F61D4"/>
    <w:rsid w:val="006F66EC"/>
    <w:rsid w:val="006F6E99"/>
    <w:rsid w:val="006F6EB8"/>
    <w:rsid w:val="006F6F92"/>
    <w:rsid w:val="006F70E1"/>
    <w:rsid w:val="006F71E1"/>
    <w:rsid w:val="006F7234"/>
    <w:rsid w:val="006F78C4"/>
    <w:rsid w:val="00701633"/>
    <w:rsid w:val="0070169A"/>
    <w:rsid w:val="00701E65"/>
    <w:rsid w:val="007024B3"/>
    <w:rsid w:val="007031A0"/>
    <w:rsid w:val="0070371E"/>
    <w:rsid w:val="007055EE"/>
    <w:rsid w:val="00705A29"/>
    <w:rsid w:val="007062B9"/>
    <w:rsid w:val="00707498"/>
    <w:rsid w:val="00707763"/>
    <w:rsid w:val="00710447"/>
    <w:rsid w:val="00711A65"/>
    <w:rsid w:val="00711C0F"/>
    <w:rsid w:val="0071260C"/>
    <w:rsid w:val="00713086"/>
    <w:rsid w:val="00714133"/>
    <w:rsid w:val="0071418C"/>
    <w:rsid w:val="00714DA4"/>
    <w:rsid w:val="007158B2"/>
    <w:rsid w:val="00715CFE"/>
    <w:rsid w:val="00716081"/>
    <w:rsid w:val="00716D8F"/>
    <w:rsid w:val="00720195"/>
    <w:rsid w:val="0072174C"/>
    <w:rsid w:val="007219CD"/>
    <w:rsid w:val="00721A3F"/>
    <w:rsid w:val="00721CF4"/>
    <w:rsid w:val="00722B48"/>
    <w:rsid w:val="00722C5A"/>
    <w:rsid w:val="007234AF"/>
    <w:rsid w:val="00723660"/>
    <w:rsid w:val="00723B7B"/>
    <w:rsid w:val="00724164"/>
    <w:rsid w:val="00724860"/>
    <w:rsid w:val="00725DE7"/>
    <w:rsid w:val="0072636A"/>
    <w:rsid w:val="00726B44"/>
    <w:rsid w:val="00727CA3"/>
    <w:rsid w:val="00727CBA"/>
    <w:rsid w:val="00730BBF"/>
    <w:rsid w:val="0073148C"/>
    <w:rsid w:val="007318DD"/>
    <w:rsid w:val="00732044"/>
    <w:rsid w:val="0073223A"/>
    <w:rsid w:val="007329CB"/>
    <w:rsid w:val="00732CF2"/>
    <w:rsid w:val="00733167"/>
    <w:rsid w:val="00733B09"/>
    <w:rsid w:val="00733F6D"/>
    <w:rsid w:val="007341FC"/>
    <w:rsid w:val="00734CC0"/>
    <w:rsid w:val="00735076"/>
    <w:rsid w:val="00737738"/>
    <w:rsid w:val="00737E7D"/>
    <w:rsid w:val="00740D2C"/>
    <w:rsid w:val="00742E88"/>
    <w:rsid w:val="00743341"/>
    <w:rsid w:val="0074355B"/>
    <w:rsid w:val="007442E5"/>
    <w:rsid w:val="00744BF9"/>
    <w:rsid w:val="00744ECA"/>
    <w:rsid w:val="00745DA0"/>
    <w:rsid w:val="0074657B"/>
    <w:rsid w:val="00746CD6"/>
    <w:rsid w:val="007479C3"/>
    <w:rsid w:val="007505D8"/>
    <w:rsid w:val="007516C0"/>
    <w:rsid w:val="00751B47"/>
    <w:rsid w:val="00751BE1"/>
    <w:rsid w:val="007521EC"/>
    <w:rsid w:val="00752623"/>
    <w:rsid w:val="00752629"/>
    <w:rsid w:val="00752DEF"/>
    <w:rsid w:val="0075340B"/>
    <w:rsid w:val="007538EF"/>
    <w:rsid w:val="007546FF"/>
    <w:rsid w:val="00754B91"/>
    <w:rsid w:val="00755CFC"/>
    <w:rsid w:val="00756249"/>
    <w:rsid w:val="0075799B"/>
    <w:rsid w:val="00760058"/>
    <w:rsid w:val="007609FB"/>
    <w:rsid w:val="00760F1F"/>
    <w:rsid w:val="0076113A"/>
    <w:rsid w:val="007611E4"/>
    <w:rsid w:val="00761977"/>
    <w:rsid w:val="007635D7"/>
    <w:rsid w:val="0076423E"/>
    <w:rsid w:val="007646CB"/>
    <w:rsid w:val="007648DC"/>
    <w:rsid w:val="007652AD"/>
    <w:rsid w:val="00765B17"/>
    <w:rsid w:val="0076658F"/>
    <w:rsid w:val="00766786"/>
    <w:rsid w:val="00767BD9"/>
    <w:rsid w:val="0077040A"/>
    <w:rsid w:val="00771F6E"/>
    <w:rsid w:val="00771F95"/>
    <w:rsid w:val="00772054"/>
    <w:rsid w:val="00772513"/>
    <w:rsid w:val="00772D64"/>
    <w:rsid w:val="00773241"/>
    <w:rsid w:val="00773CD2"/>
    <w:rsid w:val="00774243"/>
    <w:rsid w:val="00774FC6"/>
    <w:rsid w:val="0077512B"/>
    <w:rsid w:val="00775790"/>
    <w:rsid w:val="007770F8"/>
    <w:rsid w:val="007815B7"/>
    <w:rsid w:val="00783617"/>
    <w:rsid w:val="0078412C"/>
    <w:rsid w:val="00785675"/>
    <w:rsid w:val="00786C0C"/>
    <w:rsid w:val="00786EA2"/>
    <w:rsid w:val="0078739D"/>
    <w:rsid w:val="00790792"/>
    <w:rsid w:val="007916DC"/>
    <w:rsid w:val="00791C3B"/>
    <w:rsid w:val="00792609"/>
    <w:rsid w:val="0079284A"/>
    <w:rsid w:val="00792887"/>
    <w:rsid w:val="00793478"/>
    <w:rsid w:val="007943E2"/>
    <w:rsid w:val="0079462C"/>
    <w:rsid w:val="00794F2C"/>
    <w:rsid w:val="0079510E"/>
    <w:rsid w:val="007951BE"/>
    <w:rsid w:val="0079615D"/>
    <w:rsid w:val="0079658D"/>
    <w:rsid w:val="007A044F"/>
    <w:rsid w:val="007A09EE"/>
    <w:rsid w:val="007A0AD1"/>
    <w:rsid w:val="007A0FB1"/>
    <w:rsid w:val="007A1228"/>
    <w:rsid w:val="007A26B7"/>
    <w:rsid w:val="007A3BC7"/>
    <w:rsid w:val="007A5AC4"/>
    <w:rsid w:val="007A657E"/>
    <w:rsid w:val="007A7411"/>
    <w:rsid w:val="007A7AB3"/>
    <w:rsid w:val="007B0FDD"/>
    <w:rsid w:val="007B1F1C"/>
    <w:rsid w:val="007B21A3"/>
    <w:rsid w:val="007B356B"/>
    <w:rsid w:val="007B379E"/>
    <w:rsid w:val="007B4802"/>
    <w:rsid w:val="007B4AA0"/>
    <w:rsid w:val="007B5FE8"/>
    <w:rsid w:val="007B6668"/>
    <w:rsid w:val="007B6B33"/>
    <w:rsid w:val="007C0774"/>
    <w:rsid w:val="007C155E"/>
    <w:rsid w:val="007C1BAA"/>
    <w:rsid w:val="007C1CD8"/>
    <w:rsid w:val="007C1FF5"/>
    <w:rsid w:val="007C225E"/>
    <w:rsid w:val="007C2701"/>
    <w:rsid w:val="007C33B7"/>
    <w:rsid w:val="007C362D"/>
    <w:rsid w:val="007C3ECC"/>
    <w:rsid w:val="007C46D7"/>
    <w:rsid w:val="007C5373"/>
    <w:rsid w:val="007C5CA6"/>
    <w:rsid w:val="007C6D0B"/>
    <w:rsid w:val="007C706A"/>
    <w:rsid w:val="007C7217"/>
    <w:rsid w:val="007C74AB"/>
    <w:rsid w:val="007D02B0"/>
    <w:rsid w:val="007D03F6"/>
    <w:rsid w:val="007D0745"/>
    <w:rsid w:val="007D2192"/>
    <w:rsid w:val="007D2362"/>
    <w:rsid w:val="007D303A"/>
    <w:rsid w:val="007D3588"/>
    <w:rsid w:val="007D398B"/>
    <w:rsid w:val="007D4780"/>
    <w:rsid w:val="007D4E6D"/>
    <w:rsid w:val="007D6929"/>
    <w:rsid w:val="007D73B4"/>
    <w:rsid w:val="007D770C"/>
    <w:rsid w:val="007E0751"/>
    <w:rsid w:val="007E0FA0"/>
    <w:rsid w:val="007E2A77"/>
    <w:rsid w:val="007E2D9F"/>
    <w:rsid w:val="007E42AC"/>
    <w:rsid w:val="007E444D"/>
    <w:rsid w:val="007E543D"/>
    <w:rsid w:val="007E7F6B"/>
    <w:rsid w:val="007F0021"/>
    <w:rsid w:val="007F0D3A"/>
    <w:rsid w:val="007F1872"/>
    <w:rsid w:val="007F1A9E"/>
    <w:rsid w:val="007F20F7"/>
    <w:rsid w:val="007F2F52"/>
    <w:rsid w:val="007F30C2"/>
    <w:rsid w:val="008004D1"/>
    <w:rsid w:val="00800502"/>
    <w:rsid w:val="008005F5"/>
    <w:rsid w:val="0080102D"/>
    <w:rsid w:val="00801924"/>
    <w:rsid w:val="00801F71"/>
    <w:rsid w:val="008034F1"/>
    <w:rsid w:val="00803ED6"/>
    <w:rsid w:val="00804B17"/>
    <w:rsid w:val="00805787"/>
    <w:rsid w:val="00805B75"/>
    <w:rsid w:val="00805F28"/>
    <w:rsid w:val="00806E34"/>
    <w:rsid w:val="00807220"/>
    <w:rsid w:val="0080749F"/>
    <w:rsid w:val="008115EF"/>
    <w:rsid w:val="00811D46"/>
    <w:rsid w:val="00812395"/>
    <w:rsid w:val="008125B0"/>
    <w:rsid w:val="00813FCC"/>
    <w:rsid w:val="008144CB"/>
    <w:rsid w:val="008147D4"/>
    <w:rsid w:val="00814958"/>
    <w:rsid w:val="0081639D"/>
    <w:rsid w:val="00816DA3"/>
    <w:rsid w:val="0081703F"/>
    <w:rsid w:val="0081762A"/>
    <w:rsid w:val="00817710"/>
    <w:rsid w:val="00817D88"/>
    <w:rsid w:val="008200A6"/>
    <w:rsid w:val="00821717"/>
    <w:rsid w:val="008217CA"/>
    <w:rsid w:val="00821DA3"/>
    <w:rsid w:val="00822EF5"/>
    <w:rsid w:val="008232AB"/>
    <w:rsid w:val="008235A4"/>
    <w:rsid w:val="00823F9B"/>
    <w:rsid w:val="00824210"/>
    <w:rsid w:val="00824AFB"/>
    <w:rsid w:val="008260A3"/>
    <w:rsid w:val="00826177"/>
    <w:rsid w:val="008263C0"/>
    <w:rsid w:val="0082679F"/>
    <w:rsid w:val="00826C08"/>
    <w:rsid w:val="008273B1"/>
    <w:rsid w:val="00827A43"/>
    <w:rsid w:val="00827AD1"/>
    <w:rsid w:val="00830C5C"/>
    <w:rsid w:val="00831915"/>
    <w:rsid w:val="00831EB5"/>
    <w:rsid w:val="00834B49"/>
    <w:rsid w:val="00834C64"/>
    <w:rsid w:val="008350EF"/>
    <w:rsid w:val="008360DA"/>
    <w:rsid w:val="0083671F"/>
    <w:rsid w:val="0083680A"/>
    <w:rsid w:val="00837369"/>
    <w:rsid w:val="00837FF7"/>
    <w:rsid w:val="00841422"/>
    <w:rsid w:val="00841D3B"/>
    <w:rsid w:val="00841FD9"/>
    <w:rsid w:val="0084221B"/>
    <w:rsid w:val="008422D9"/>
    <w:rsid w:val="0084314C"/>
    <w:rsid w:val="00843171"/>
    <w:rsid w:val="0084391C"/>
    <w:rsid w:val="00844D22"/>
    <w:rsid w:val="00847264"/>
    <w:rsid w:val="00850D11"/>
    <w:rsid w:val="008528E0"/>
    <w:rsid w:val="00852DDA"/>
    <w:rsid w:val="008530E9"/>
    <w:rsid w:val="008534C0"/>
    <w:rsid w:val="008539E5"/>
    <w:rsid w:val="00853F88"/>
    <w:rsid w:val="00854394"/>
    <w:rsid w:val="00854979"/>
    <w:rsid w:val="00856226"/>
    <w:rsid w:val="00857286"/>
    <w:rsid w:val="0085746B"/>
    <w:rsid w:val="008575C3"/>
    <w:rsid w:val="00857A1E"/>
    <w:rsid w:val="00857DAC"/>
    <w:rsid w:val="00862664"/>
    <w:rsid w:val="00862BF3"/>
    <w:rsid w:val="00863D28"/>
    <w:rsid w:val="008648C3"/>
    <w:rsid w:val="008651C9"/>
    <w:rsid w:val="008668F7"/>
    <w:rsid w:val="008671E8"/>
    <w:rsid w:val="00867D3B"/>
    <w:rsid w:val="00870F69"/>
    <w:rsid w:val="008713C3"/>
    <w:rsid w:val="00871B87"/>
    <w:rsid w:val="00871DEA"/>
    <w:rsid w:val="008722D2"/>
    <w:rsid w:val="008731C7"/>
    <w:rsid w:val="008743A6"/>
    <w:rsid w:val="00875234"/>
    <w:rsid w:val="00875CA4"/>
    <w:rsid w:val="00875D57"/>
    <w:rsid w:val="00875D75"/>
    <w:rsid w:val="00876774"/>
    <w:rsid w:val="00877754"/>
    <w:rsid w:val="0087789A"/>
    <w:rsid w:val="00880926"/>
    <w:rsid w:val="00880F26"/>
    <w:rsid w:val="008817EB"/>
    <w:rsid w:val="00881ACE"/>
    <w:rsid w:val="00882E54"/>
    <w:rsid w:val="00884455"/>
    <w:rsid w:val="0088578B"/>
    <w:rsid w:val="00886374"/>
    <w:rsid w:val="00891E21"/>
    <w:rsid w:val="008934C5"/>
    <w:rsid w:val="008946F7"/>
    <w:rsid w:val="00895789"/>
    <w:rsid w:val="00896AE9"/>
    <w:rsid w:val="00896C2E"/>
    <w:rsid w:val="00897727"/>
    <w:rsid w:val="00897791"/>
    <w:rsid w:val="008A5016"/>
    <w:rsid w:val="008A5095"/>
    <w:rsid w:val="008A608F"/>
    <w:rsid w:val="008A6963"/>
    <w:rsid w:val="008A6DAB"/>
    <w:rsid w:val="008A7248"/>
    <w:rsid w:val="008B0A70"/>
    <w:rsid w:val="008B0AA1"/>
    <w:rsid w:val="008B0D03"/>
    <w:rsid w:val="008B0DAC"/>
    <w:rsid w:val="008B1725"/>
    <w:rsid w:val="008B1A9A"/>
    <w:rsid w:val="008B1B81"/>
    <w:rsid w:val="008B1D69"/>
    <w:rsid w:val="008B2187"/>
    <w:rsid w:val="008B23D8"/>
    <w:rsid w:val="008B311A"/>
    <w:rsid w:val="008B4FE6"/>
    <w:rsid w:val="008B5563"/>
    <w:rsid w:val="008B6AE1"/>
    <w:rsid w:val="008B6C37"/>
    <w:rsid w:val="008C0B2F"/>
    <w:rsid w:val="008C1987"/>
    <w:rsid w:val="008C20A1"/>
    <w:rsid w:val="008C3407"/>
    <w:rsid w:val="008C4291"/>
    <w:rsid w:val="008C4DAA"/>
    <w:rsid w:val="008C54BC"/>
    <w:rsid w:val="008C7A81"/>
    <w:rsid w:val="008D0145"/>
    <w:rsid w:val="008D0397"/>
    <w:rsid w:val="008D21E7"/>
    <w:rsid w:val="008D4AD6"/>
    <w:rsid w:val="008D4F64"/>
    <w:rsid w:val="008D54ED"/>
    <w:rsid w:val="008D5F97"/>
    <w:rsid w:val="008D6DAD"/>
    <w:rsid w:val="008D7280"/>
    <w:rsid w:val="008E0014"/>
    <w:rsid w:val="008E0EF6"/>
    <w:rsid w:val="008E130B"/>
    <w:rsid w:val="008E1756"/>
    <w:rsid w:val="008E18F7"/>
    <w:rsid w:val="008E1A18"/>
    <w:rsid w:val="008E1E10"/>
    <w:rsid w:val="008E2390"/>
    <w:rsid w:val="008E291B"/>
    <w:rsid w:val="008E2CC6"/>
    <w:rsid w:val="008E373D"/>
    <w:rsid w:val="008E4F2F"/>
    <w:rsid w:val="008E57D3"/>
    <w:rsid w:val="008E5C98"/>
    <w:rsid w:val="008E63C7"/>
    <w:rsid w:val="008E74B0"/>
    <w:rsid w:val="008F05C8"/>
    <w:rsid w:val="008F0AA1"/>
    <w:rsid w:val="008F1D29"/>
    <w:rsid w:val="008F26C7"/>
    <w:rsid w:val="008F470B"/>
    <w:rsid w:val="008F4AC7"/>
    <w:rsid w:val="008F5E7A"/>
    <w:rsid w:val="008F7CBF"/>
    <w:rsid w:val="009008A8"/>
    <w:rsid w:val="00901701"/>
    <w:rsid w:val="00901AF4"/>
    <w:rsid w:val="00901E4B"/>
    <w:rsid w:val="0090243E"/>
    <w:rsid w:val="0090258B"/>
    <w:rsid w:val="009029D2"/>
    <w:rsid w:val="00903698"/>
    <w:rsid w:val="00903791"/>
    <w:rsid w:val="00904007"/>
    <w:rsid w:val="00904CF7"/>
    <w:rsid w:val="009063B0"/>
    <w:rsid w:val="00907106"/>
    <w:rsid w:val="00907290"/>
    <w:rsid w:val="00907BA6"/>
    <w:rsid w:val="00910101"/>
    <w:rsid w:val="009106EF"/>
    <w:rsid w:val="009107FD"/>
    <w:rsid w:val="0091137C"/>
    <w:rsid w:val="00911567"/>
    <w:rsid w:val="00912F4B"/>
    <w:rsid w:val="0091306B"/>
    <w:rsid w:val="00913484"/>
    <w:rsid w:val="0091431C"/>
    <w:rsid w:val="009157F8"/>
    <w:rsid w:val="00917AAE"/>
    <w:rsid w:val="009202A6"/>
    <w:rsid w:val="00920CD4"/>
    <w:rsid w:val="009210CF"/>
    <w:rsid w:val="00921850"/>
    <w:rsid w:val="00923257"/>
    <w:rsid w:val="00923669"/>
    <w:rsid w:val="00924891"/>
    <w:rsid w:val="00924B48"/>
    <w:rsid w:val="009251A9"/>
    <w:rsid w:val="009267A6"/>
    <w:rsid w:val="009271A7"/>
    <w:rsid w:val="009275A6"/>
    <w:rsid w:val="00927755"/>
    <w:rsid w:val="00927C6A"/>
    <w:rsid w:val="00930699"/>
    <w:rsid w:val="00930C30"/>
    <w:rsid w:val="0093113C"/>
    <w:rsid w:val="00931F69"/>
    <w:rsid w:val="00933704"/>
    <w:rsid w:val="009338E1"/>
    <w:rsid w:val="00934123"/>
    <w:rsid w:val="00934627"/>
    <w:rsid w:val="00934879"/>
    <w:rsid w:val="00934AFD"/>
    <w:rsid w:val="00935E0E"/>
    <w:rsid w:val="0094145E"/>
    <w:rsid w:val="00941DDC"/>
    <w:rsid w:val="0094395F"/>
    <w:rsid w:val="0094469D"/>
    <w:rsid w:val="00944C36"/>
    <w:rsid w:val="00947A1B"/>
    <w:rsid w:val="00947EB2"/>
    <w:rsid w:val="00952D91"/>
    <w:rsid w:val="009532D7"/>
    <w:rsid w:val="00953B8B"/>
    <w:rsid w:val="00955774"/>
    <w:rsid w:val="009560B5"/>
    <w:rsid w:val="00956C9E"/>
    <w:rsid w:val="009574FE"/>
    <w:rsid w:val="00957D26"/>
    <w:rsid w:val="009606ED"/>
    <w:rsid w:val="009607AC"/>
    <w:rsid w:val="00962267"/>
    <w:rsid w:val="0096246E"/>
    <w:rsid w:val="009629B5"/>
    <w:rsid w:val="0096379C"/>
    <w:rsid w:val="00964678"/>
    <w:rsid w:val="0096487A"/>
    <w:rsid w:val="00966637"/>
    <w:rsid w:val="00966C93"/>
    <w:rsid w:val="00966E53"/>
    <w:rsid w:val="009703D6"/>
    <w:rsid w:val="00971500"/>
    <w:rsid w:val="0097181B"/>
    <w:rsid w:val="00972734"/>
    <w:rsid w:val="00974893"/>
    <w:rsid w:val="00974BA7"/>
    <w:rsid w:val="009755F7"/>
    <w:rsid w:val="00975824"/>
    <w:rsid w:val="00975D94"/>
    <w:rsid w:val="00976CBF"/>
    <w:rsid w:val="00976DC5"/>
    <w:rsid w:val="0097714F"/>
    <w:rsid w:val="009772F9"/>
    <w:rsid w:val="00980267"/>
    <w:rsid w:val="00980D6B"/>
    <w:rsid w:val="009818C7"/>
    <w:rsid w:val="00982DD4"/>
    <w:rsid w:val="00983C1F"/>
    <w:rsid w:val="00983E66"/>
    <w:rsid w:val="009841E5"/>
    <w:rsid w:val="0098479F"/>
    <w:rsid w:val="00984A8A"/>
    <w:rsid w:val="00984BF9"/>
    <w:rsid w:val="009857B6"/>
    <w:rsid w:val="00985A1E"/>
    <w:rsid w:val="00985A8D"/>
    <w:rsid w:val="00985F36"/>
    <w:rsid w:val="00986610"/>
    <w:rsid w:val="009877DC"/>
    <w:rsid w:val="00987D50"/>
    <w:rsid w:val="009905F2"/>
    <w:rsid w:val="00990D48"/>
    <w:rsid w:val="00991376"/>
    <w:rsid w:val="00991F96"/>
    <w:rsid w:val="00992096"/>
    <w:rsid w:val="009926A4"/>
    <w:rsid w:val="009940F0"/>
    <w:rsid w:val="009953F4"/>
    <w:rsid w:val="009958D4"/>
    <w:rsid w:val="00995F98"/>
    <w:rsid w:val="00996B04"/>
    <w:rsid w:val="00996BFD"/>
    <w:rsid w:val="00996C05"/>
    <w:rsid w:val="00996F0A"/>
    <w:rsid w:val="009975F4"/>
    <w:rsid w:val="00997D50"/>
    <w:rsid w:val="00997EFA"/>
    <w:rsid w:val="009A19D5"/>
    <w:rsid w:val="009A1D86"/>
    <w:rsid w:val="009A47B3"/>
    <w:rsid w:val="009A55F8"/>
    <w:rsid w:val="009B049C"/>
    <w:rsid w:val="009B081C"/>
    <w:rsid w:val="009B11C8"/>
    <w:rsid w:val="009B126D"/>
    <w:rsid w:val="009B19D0"/>
    <w:rsid w:val="009B2BCF"/>
    <w:rsid w:val="009B2FF8"/>
    <w:rsid w:val="009B3EFF"/>
    <w:rsid w:val="009B5BA3"/>
    <w:rsid w:val="009B5D83"/>
    <w:rsid w:val="009B5D8C"/>
    <w:rsid w:val="009B636D"/>
    <w:rsid w:val="009B6583"/>
    <w:rsid w:val="009B6A6F"/>
    <w:rsid w:val="009B7497"/>
    <w:rsid w:val="009B7B78"/>
    <w:rsid w:val="009B7EEC"/>
    <w:rsid w:val="009B7F9E"/>
    <w:rsid w:val="009C0160"/>
    <w:rsid w:val="009C0E8B"/>
    <w:rsid w:val="009C24EE"/>
    <w:rsid w:val="009C31C2"/>
    <w:rsid w:val="009C5AEA"/>
    <w:rsid w:val="009C6C8D"/>
    <w:rsid w:val="009C753D"/>
    <w:rsid w:val="009C7B64"/>
    <w:rsid w:val="009D0027"/>
    <w:rsid w:val="009D0655"/>
    <w:rsid w:val="009D0722"/>
    <w:rsid w:val="009D4058"/>
    <w:rsid w:val="009D485A"/>
    <w:rsid w:val="009D48D9"/>
    <w:rsid w:val="009D51F6"/>
    <w:rsid w:val="009D561C"/>
    <w:rsid w:val="009D750A"/>
    <w:rsid w:val="009E01B3"/>
    <w:rsid w:val="009E03CE"/>
    <w:rsid w:val="009E16C3"/>
    <w:rsid w:val="009E1AF3"/>
    <w:rsid w:val="009E1D33"/>
    <w:rsid w:val="009E1E25"/>
    <w:rsid w:val="009E1E98"/>
    <w:rsid w:val="009E2544"/>
    <w:rsid w:val="009E30A2"/>
    <w:rsid w:val="009E3ABE"/>
    <w:rsid w:val="009E3C4B"/>
    <w:rsid w:val="009E3F40"/>
    <w:rsid w:val="009E4323"/>
    <w:rsid w:val="009E4695"/>
    <w:rsid w:val="009E46B7"/>
    <w:rsid w:val="009E4C3E"/>
    <w:rsid w:val="009E4D20"/>
    <w:rsid w:val="009E525D"/>
    <w:rsid w:val="009E637E"/>
    <w:rsid w:val="009E69C6"/>
    <w:rsid w:val="009E6C9A"/>
    <w:rsid w:val="009E6D0B"/>
    <w:rsid w:val="009E7340"/>
    <w:rsid w:val="009E73D2"/>
    <w:rsid w:val="009E7E5B"/>
    <w:rsid w:val="009F0637"/>
    <w:rsid w:val="009F09BF"/>
    <w:rsid w:val="009F113A"/>
    <w:rsid w:val="009F2248"/>
    <w:rsid w:val="009F2555"/>
    <w:rsid w:val="009F2BB9"/>
    <w:rsid w:val="009F2EDA"/>
    <w:rsid w:val="009F3996"/>
    <w:rsid w:val="009F4F35"/>
    <w:rsid w:val="009F62A6"/>
    <w:rsid w:val="009F674F"/>
    <w:rsid w:val="009F7669"/>
    <w:rsid w:val="009F799E"/>
    <w:rsid w:val="009F7CD9"/>
    <w:rsid w:val="00A0114A"/>
    <w:rsid w:val="00A015D0"/>
    <w:rsid w:val="00A016D3"/>
    <w:rsid w:val="00A01A94"/>
    <w:rsid w:val="00A02020"/>
    <w:rsid w:val="00A02670"/>
    <w:rsid w:val="00A028A6"/>
    <w:rsid w:val="00A056CB"/>
    <w:rsid w:val="00A05D91"/>
    <w:rsid w:val="00A07A29"/>
    <w:rsid w:val="00A10FF1"/>
    <w:rsid w:val="00A11803"/>
    <w:rsid w:val="00A1238C"/>
    <w:rsid w:val="00A12886"/>
    <w:rsid w:val="00A13C84"/>
    <w:rsid w:val="00A146FF"/>
    <w:rsid w:val="00A1506B"/>
    <w:rsid w:val="00A15283"/>
    <w:rsid w:val="00A17142"/>
    <w:rsid w:val="00A17CB2"/>
    <w:rsid w:val="00A21400"/>
    <w:rsid w:val="00A21D39"/>
    <w:rsid w:val="00A229DD"/>
    <w:rsid w:val="00A22E5A"/>
    <w:rsid w:val="00A23191"/>
    <w:rsid w:val="00A23FF0"/>
    <w:rsid w:val="00A24DB6"/>
    <w:rsid w:val="00A25597"/>
    <w:rsid w:val="00A25D3C"/>
    <w:rsid w:val="00A25D64"/>
    <w:rsid w:val="00A27E5A"/>
    <w:rsid w:val="00A31748"/>
    <w:rsid w:val="00A319C0"/>
    <w:rsid w:val="00A31C91"/>
    <w:rsid w:val="00A32870"/>
    <w:rsid w:val="00A32929"/>
    <w:rsid w:val="00A32D27"/>
    <w:rsid w:val="00A33560"/>
    <w:rsid w:val="00A33FDF"/>
    <w:rsid w:val="00A355BD"/>
    <w:rsid w:val="00A364E4"/>
    <w:rsid w:val="00A364F7"/>
    <w:rsid w:val="00A371A5"/>
    <w:rsid w:val="00A3745C"/>
    <w:rsid w:val="00A40805"/>
    <w:rsid w:val="00A40B5C"/>
    <w:rsid w:val="00A43FD5"/>
    <w:rsid w:val="00A46CD2"/>
    <w:rsid w:val="00A4702E"/>
    <w:rsid w:val="00A47424"/>
    <w:rsid w:val="00A47BDF"/>
    <w:rsid w:val="00A51CD7"/>
    <w:rsid w:val="00A529BD"/>
    <w:rsid w:val="00A52ADB"/>
    <w:rsid w:val="00A533E8"/>
    <w:rsid w:val="00A53604"/>
    <w:rsid w:val="00A5404E"/>
    <w:rsid w:val="00A542D9"/>
    <w:rsid w:val="00A54FF8"/>
    <w:rsid w:val="00A5505F"/>
    <w:rsid w:val="00A55892"/>
    <w:rsid w:val="00A55919"/>
    <w:rsid w:val="00A56E64"/>
    <w:rsid w:val="00A579CA"/>
    <w:rsid w:val="00A60CDD"/>
    <w:rsid w:val="00A60F6D"/>
    <w:rsid w:val="00A624C3"/>
    <w:rsid w:val="00A62764"/>
    <w:rsid w:val="00A6616E"/>
    <w:rsid w:val="00A6641C"/>
    <w:rsid w:val="00A671FF"/>
    <w:rsid w:val="00A679C1"/>
    <w:rsid w:val="00A70A70"/>
    <w:rsid w:val="00A70E4B"/>
    <w:rsid w:val="00A71838"/>
    <w:rsid w:val="00A72AD9"/>
    <w:rsid w:val="00A737DA"/>
    <w:rsid w:val="00A73C42"/>
    <w:rsid w:val="00A747F7"/>
    <w:rsid w:val="00A752C5"/>
    <w:rsid w:val="00A759D5"/>
    <w:rsid w:val="00A767D2"/>
    <w:rsid w:val="00A77616"/>
    <w:rsid w:val="00A805DA"/>
    <w:rsid w:val="00A811B4"/>
    <w:rsid w:val="00A81DC0"/>
    <w:rsid w:val="00A8272C"/>
    <w:rsid w:val="00A84B6C"/>
    <w:rsid w:val="00A85CFE"/>
    <w:rsid w:val="00A87CDE"/>
    <w:rsid w:val="00A87E5F"/>
    <w:rsid w:val="00A91702"/>
    <w:rsid w:val="00A9237C"/>
    <w:rsid w:val="00A92BAF"/>
    <w:rsid w:val="00A9331E"/>
    <w:rsid w:val="00A9352F"/>
    <w:rsid w:val="00A944AB"/>
    <w:rsid w:val="00A94737"/>
    <w:rsid w:val="00A94742"/>
    <w:rsid w:val="00A94BA3"/>
    <w:rsid w:val="00A95466"/>
    <w:rsid w:val="00A95521"/>
    <w:rsid w:val="00A95657"/>
    <w:rsid w:val="00A96615"/>
    <w:rsid w:val="00A96718"/>
    <w:rsid w:val="00A96CBA"/>
    <w:rsid w:val="00A96DBB"/>
    <w:rsid w:val="00A974A8"/>
    <w:rsid w:val="00A977CF"/>
    <w:rsid w:val="00A9783C"/>
    <w:rsid w:val="00AA0300"/>
    <w:rsid w:val="00AA04D3"/>
    <w:rsid w:val="00AA3410"/>
    <w:rsid w:val="00AA344F"/>
    <w:rsid w:val="00AA42EA"/>
    <w:rsid w:val="00AA4662"/>
    <w:rsid w:val="00AA4699"/>
    <w:rsid w:val="00AA6E91"/>
    <w:rsid w:val="00AB0A90"/>
    <w:rsid w:val="00AB1524"/>
    <w:rsid w:val="00AB1ACD"/>
    <w:rsid w:val="00AB2288"/>
    <w:rsid w:val="00AB277F"/>
    <w:rsid w:val="00AB4099"/>
    <w:rsid w:val="00AB449A"/>
    <w:rsid w:val="00AB49C8"/>
    <w:rsid w:val="00AB4EC1"/>
    <w:rsid w:val="00AB5080"/>
    <w:rsid w:val="00AB5B8D"/>
    <w:rsid w:val="00AB5FC8"/>
    <w:rsid w:val="00AC02BE"/>
    <w:rsid w:val="00AC1CE2"/>
    <w:rsid w:val="00AC36C8"/>
    <w:rsid w:val="00AC3F07"/>
    <w:rsid w:val="00AC481A"/>
    <w:rsid w:val="00AC5D7C"/>
    <w:rsid w:val="00AC698A"/>
    <w:rsid w:val="00AC7478"/>
    <w:rsid w:val="00AD085F"/>
    <w:rsid w:val="00AD1319"/>
    <w:rsid w:val="00AD14F9"/>
    <w:rsid w:val="00AD1B08"/>
    <w:rsid w:val="00AD35D6"/>
    <w:rsid w:val="00AD3BBC"/>
    <w:rsid w:val="00AD46A6"/>
    <w:rsid w:val="00AD4904"/>
    <w:rsid w:val="00AD49F9"/>
    <w:rsid w:val="00AD4E9F"/>
    <w:rsid w:val="00AD53E8"/>
    <w:rsid w:val="00AD58C5"/>
    <w:rsid w:val="00AD5ECB"/>
    <w:rsid w:val="00AD611D"/>
    <w:rsid w:val="00AD6132"/>
    <w:rsid w:val="00AD64B6"/>
    <w:rsid w:val="00AD6A37"/>
    <w:rsid w:val="00AD79C0"/>
    <w:rsid w:val="00AD7B1E"/>
    <w:rsid w:val="00AD7EB8"/>
    <w:rsid w:val="00AE200B"/>
    <w:rsid w:val="00AE2082"/>
    <w:rsid w:val="00AE2E74"/>
    <w:rsid w:val="00AE36C4"/>
    <w:rsid w:val="00AE472C"/>
    <w:rsid w:val="00AE5375"/>
    <w:rsid w:val="00AE5E38"/>
    <w:rsid w:val="00AE6CF8"/>
    <w:rsid w:val="00AE768B"/>
    <w:rsid w:val="00AF005A"/>
    <w:rsid w:val="00AF0426"/>
    <w:rsid w:val="00AF1C2E"/>
    <w:rsid w:val="00AF393D"/>
    <w:rsid w:val="00AF4784"/>
    <w:rsid w:val="00AF4CAC"/>
    <w:rsid w:val="00AF4EA6"/>
    <w:rsid w:val="00AF5228"/>
    <w:rsid w:val="00AF5E4E"/>
    <w:rsid w:val="00B00AB8"/>
    <w:rsid w:val="00B01833"/>
    <w:rsid w:val="00B03E0D"/>
    <w:rsid w:val="00B054F8"/>
    <w:rsid w:val="00B061EA"/>
    <w:rsid w:val="00B0620D"/>
    <w:rsid w:val="00B068EF"/>
    <w:rsid w:val="00B0701F"/>
    <w:rsid w:val="00B073AF"/>
    <w:rsid w:val="00B11150"/>
    <w:rsid w:val="00B12D05"/>
    <w:rsid w:val="00B13255"/>
    <w:rsid w:val="00B1387F"/>
    <w:rsid w:val="00B13AF2"/>
    <w:rsid w:val="00B13DC6"/>
    <w:rsid w:val="00B14296"/>
    <w:rsid w:val="00B144E6"/>
    <w:rsid w:val="00B14876"/>
    <w:rsid w:val="00B153CA"/>
    <w:rsid w:val="00B1576A"/>
    <w:rsid w:val="00B16BC7"/>
    <w:rsid w:val="00B16D6A"/>
    <w:rsid w:val="00B17932"/>
    <w:rsid w:val="00B20472"/>
    <w:rsid w:val="00B218B7"/>
    <w:rsid w:val="00B21BBD"/>
    <w:rsid w:val="00B2219A"/>
    <w:rsid w:val="00B2231D"/>
    <w:rsid w:val="00B22839"/>
    <w:rsid w:val="00B22D76"/>
    <w:rsid w:val="00B23AC9"/>
    <w:rsid w:val="00B24955"/>
    <w:rsid w:val="00B24CC8"/>
    <w:rsid w:val="00B24D99"/>
    <w:rsid w:val="00B260C3"/>
    <w:rsid w:val="00B26DD3"/>
    <w:rsid w:val="00B30977"/>
    <w:rsid w:val="00B33C3D"/>
    <w:rsid w:val="00B343A2"/>
    <w:rsid w:val="00B3581B"/>
    <w:rsid w:val="00B36B81"/>
    <w:rsid w:val="00B36FEE"/>
    <w:rsid w:val="00B370E5"/>
    <w:rsid w:val="00B3755D"/>
    <w:rsid w:val="00B37596"/>
    <w:rsid w:val="00B37C80"/>
    <w:rsid w:val="00B404FB"/>
    <w:rsid w:val="00B41099"/>
    <w:rsid w:val="00B41903"/>
    <w:rsid w:val="00B422BD"/>
    <w:rsid w:val="00B423C0"/>
    <w:rsid w:val="00B424F8"/>
    <w:rsid w:val="00B428E9"/>
    <w:rsid w:val="00B44C46"/>
    <w:rsid w:val="00B456AA"/>
    <w:rsid w:val="00B4593B"/>
    <w:rsid w:val="00B4659E"/>
    <w:rsid w:val="00B46B03"/>
    <w:rsid w:val="00B46C59"/>
    <w:rsid w:val="00B50232"/>
    <w:rsid w:val="00B5067E"/>
    <w:rsid w:val="00B5074A"/>
    <w:rsid w:val="00B5084A"/>
    <w:rsid w:val="00B5092B"/>
    <w:rsid w:val="00B50EF2"/>
    <w:rsid w:val="00B5194E"/>
    <w:rsid w:val="00B51AF5"/>
    <w:rsid w:val="00B52440"/>
    <w:rsid w:val="00B531FC"/>
    <w:rsid w:val="00B53358"/>
    <w:rsid w:val="00B53364"/>
    <w:rsid w:val="00B54210"/>
    <w:rsid w:val="00B54419"/>
    <w:rsid w:val="00B55347"/>
    <w:rsid w:val="00B55C52"/>
    <w:rsid w:val="00B5626F"/>
    <w:rsid w:val="00B577D9"/>
    <w:rsid w:val="00B57C5A"/>
    <w:rsid w:val="00B57DC1"/>
    <w:rsid w:val="00B57E5E"/>
    <w:rsid w:val="00B57EB4"/>
    <w:rsid w:val="00B60414"/>
    <w:rsid w:val="00B60FA7"/>
    <w:rsid w:val="00B61F37"/>
    <w:rsid w:val="00B62498"/>
    <w:rsid w:val="00B625CB"/>
    <w:rsid w:val="00B625F1"/>
    <w:rsid w:val="00B64153"/>
    <w:rsid w:val="00B64493"/>
    <w:rsid w:val="00B64532"/>
    <w:rsid w:val="00B64F91"/>
    <w:rsid w:val="00B65726"/>
    <w:rsid w:val="00B66295"/>
    <w:rsid w:val="00B6783D"/>
    <w:rsid w:val="00B67A3A"/>
    <w:rsid w:val="00B67B0C"/>
    <w:rsid w:val="00B67D09"/>
    <w:rsid w:val="00B72348"/>
    <w:rsid w:val="00B726D3"/>
    <w:rsid w:val="00B72C20"/>
    <w:rsid w:val="00B73A84"/>
    <w:rsid w:val="00B741C1"/>
    <w:rsid w:val="00B771E5"/>
    <w:rsid w:val="00B7741C"/>
    <w:rsid w:val="00B7770F"/>
    <w:rsid w:val="00B778DA"/>
    <w:rsid w:val="00B77A89"/>
    <w:rsid w:val="00B77B27"/>
    <w:rsid w:val="00B80115"/>
    <w:rsid w:val="00B804CC"/>
    <w:rsid w:val="00B80C16"/>
    <w:rsid w:val="00B8134E"/>
    <w:rsid w:val="00B81A70"/>
    <w:rsid w:val="00B81B55"/>
    <w:rsid w:val="00B8380F"/>
    <w:rsid w:val="00B838EA"/>
    <w:rsid w:val="00B84613"/>
    <w:rsid w:val="00B84985"/>
    <w:rsid w:val="00B84ADF"/>
    <w:rsid w:val="00B8522D"/>
    <w:rsid w:val="00B8586E"/>
    <w:rsid w:val="00B86E43"/>
    <w:rsid w:val="00B87822"/>
    <w:rsid w:val="00B87824"/>
    <w:rsid w:val="00B87AF0"/>
    <w:rsid w:val="00B87B7E"/>
    <w:rsid w:val="00B87D9D"/>
    <w:rsid w:val="00B9037B"/>
    <w:rsid w:val="00B90ED1"/>
    <w:rsid w:val="00B910BD"/>
    <w:rsid w:val="00B914A5"/>
    <w:rsid w:val="00B927BE"/>
    <w:rsid w:val="00B92BD3"/>
    <w:rsid w:val="00B92FFF"/>
    <w:rsid w:val="00B933E7"/>
    <w:rsid w:val="00B93834"/>
    <w:rsid w:val="00B93863"/>
    <w:rsid w:val="00B954B4"/>
    <w:rsid w:val="00B95595"/>
    <w:rsid w:val="00B958DD"/>
    <w:rsid w:val="00B962C8"/>
    <w:rsid w:val="00B96346"/>
    <w:rsid w:val="00B96469"/>
    <w:rsid w:val="00B96D8E"/>
    <w:rsid w:val="00B97EA2"/>
    <w:rsid w:val="00BA0DA2"/>
    <w:rsid w:val="00BA0FEC"/>
    <w:rsid w:val="00BA1208"/>
    <w:rsid w:val="00BA1459"/>
    <w:rsid w:val="00BA2981"/>
    <w:rsid w:val="00BA2B14"/>
    <w:rsid w:val="00BA3981"/>
    <w:rsid w:val="00BA42EE"/>
    <w:rsid w:val="00BA48F9"/>
    <w:rsid w:val="00BA5A17"/>
    <w:rsid w:val="00BA7148"/>
    <w:rsid w:val="00BB0DCA"/>
    <w:rsid w:val="00BB0FD8"/>
    <w:rsid w:val="00BB1152"/>
    <w:rsid w:val="00BB1665"/>
    <w:rsid w:val="00BB1B99"/>
    <w:rsid w:val="00BB2666"/>
    <w:rsid w:val="00BB2818"/>
    <w:rsid w:val="00BB3064"/>
    <w:rsid w:val="00BB30AB"/>
    <w:rsid w:val="00BB34E5"/>
    <w:rsid w:val="00BB35B1"/>
    <w:rsid w:val="00BB44DB"/>
    <w:rsid w:val="00BB4F3E"/>
    <w:rsid w:val="00BB5E5D"/>
    <w:rsid w:val="00BB6B80"/>
    <w:rsid w:val="00BC05D7"/>
    <w:rsid w:val="00BC1B26"/>
    <w:rsid w:val="00BC2635"/>
    <w:rsid w:val="00BC2896"/>
    <w:rsid w:val="00BC3340"/>
    <w:rsid w:val="00BC3773"/>
    <w:rsid w:val="00BC381A"/>
    <w:rsid w:val="00BC3C85"/>
    <w:rsid w:val="00BC5EB6"/>
    <w:rsid w:val="00BC62D4"/>
    <w:rsid w:val="00BD03E8"/>
    <w:rsid w:val="00BD0962"/>
    <w:rsid w:val="00BD1EED"/>
    <w:rsid w:val="00BD2CED"/>
    <w:rsid w:val="00BD6392"/>
    <w:rsid w:val="00BE06E5"/>
    <w:rsid w:val="00BE1F6D"/>
    <w:rsid w:val="00BE35FE"/>
    <w:rsid w:val="00BE4F3D"/>
    <w:rsid w:val="00BE5FD7"/>
    <w:rsid w:val="00BE650D"/>
    <w:rsid w:val="00BE73E8"/>
    <w:rsid w:val="00BE7760"/>
    <w:rsid w:val="00BE7BF4"/>
    <w:rsid w:val="00BE7FF3"/>
    <w:rsid w:val="00BF0DA2"/>
    <w:rsid w:val="00BF0F4C"/>
    <w:rsid w:val="00BF109C"/>
    <w:rsid w:val="00BF1A25"/>
    <w:rsid w:val="00BF1B0F"/>
    <w:rsid w:val="00BF281C"/>
    <w:rsid w:val="00BF34FA"/>
    <w:rsid w:val="00BF4B03"/>
    <w:rsid w:val="00BF4E1B"/>
    <w:rsid w:val="00BF5EB5"/>
    <w:rsid w:val="00BF6578"/>
    <w:rsid w:val="00BF7985"/>
    <w:rsid w:val="00C004B6"/>
    <w:rsid w:val="00C007B0"/>
    <w:rsid w:val="00C012FF"/>
    <w:rsid w:val="00C02CBD"/>
    <w:rsid w:val="00C031C1"/>
    <w:rsid w:val="00C03435"/>
    <w:rsid w:val="00C036F6"/>
    <w:rsid w:val="00C038C7"/>
    <w:rsid w:val="00C03D8F"/>
    <w:rsid w:val="00C047A7"/>
    <w:rsid w:val="00C052C0"/>
    <w:rsid w:val="00C05447"/>
    <w:rsid w:val="00C05DE5"/>
    <w:rsid w:val="00C066E6"/>
    <w:rsid w:val="00C06CF0"/>
    <w:rsid w:val="00C07383"/>
    <w:rsid w:val="00C07953"/>
    <w:rsid w:val="00C07F14"/>
    <w:rsid w:val="00C101B8"/>
    <w:rsid w:val="00C126C9"/>
    <w:rsid w:val="00C13EE8"/>
    <w:rsid w:val="00C14358"/>
    <w:rsid w:val="00C16BE9"/>
    <w:rsid w:val="00C17C29"/>
    <w:rsid w:val="00C214C2"/>
    <w:rsid w:val="00C21679"/>
    <w:rsid w:val="00C21B2E"/>
    <w:rsid w:val="00C22E41"/>
    <w:rsid w:val="00C273B4"/>
    <w:rsid w:val="00C27D63"/>
    <w:rsid w:val="00C318CC"/>
    <w:rsid w:val="00C31B22"/>
    <w:rsid w:val="00C3266A"/>
    <w:rsid w:val="00C33027"/>
    <w:rsid w:val="00C33845"/>
    <w:rsid w:val="00C36301"/>
    <w:rsid w:val="00C364BF"/>
    <w:rsid w:val="00C367C4"/>
    <w:rsid w:val="00C37667"/>
    <w:rsid w:val="00C40B16"/>
    <w:rsid w:val="00C40C3D"/>
    <w:rsid w:val="00C42BEF"/>
    <w:rsid w:val="00C42CE0"/>
    <w:rsid w:val="00C435DB"/>
    <w:rsid w:val="00C43722"/>
    <w:rsid w:val="00C43789"/>
    <w:rsid w:val="00C43ADA"/>
    <w:rsid w:val="00C43D3A"/>
    <w:rsid w:val="00C44944"/>
    <w:rsid w:val="00C44D73"/>
    <w:rsid w:val="00C45946"/>
    <w:rsid w:val="00C46116"/>
    <w:rsid w:val="00C466AA"/>
    <w:rsid w:val="00C471D3"/>
    <w:rsid w:val="00C50994"/>
    <w:rsid w:val="00C50B42"/>
    <w:rsid w:val="00C512DE"/>
    <w:rsid w:val="00C516FF"/>
    <w:rsid w:val="00C52803"/>
    <w:rsid w:val="00C52BFA"/>
    <w:rsid w:val="00C53D1D"/>
    <w:rsid w:val="00C53F26"/>
    <w:rsid w:val="00C540BC"/>
    <w:rsid w:val="00C541F0"/>
    <w:rsid w:val="00C5569B"/>
    <w:rsid w:val="00C56D01"/>
    <w:rsid w:val="00C57BEB"/>
    <w:rsid w:val="00C609F3"/>
    <w:rsid w:val="00C6154B"/>
    <w:rsid w:val="00C630FE"/>
    <w:rsid w:val="00C64F7D"/>
    <w:rsid w:val="00C65CB6"/>
    <w:rsid w:val="00C66811"/>
    <w:rsid w:val="00C6684E"/>
    <w:rsid w:val="00C67309"/>
    <w:rsid w:val="00C700CC"/>
    <w:rsid w:val="00C711DD"/>
    <w:rsid w:val="00C72036"/>
    <w:rsid w:val="00C72FF3"/>
    <w:rsid w:val="00C73ECC"/>
    <w:rsid w:val="00C7589F"/>
    <w:rsid w:val="00C7614E"/>
    <w:rsid w:val="00C76389"/>
    <w:rsid w:val="00C77759"/>
    <w:rsid w:val="00C77BF1"/>
    <w:rsid w:val="00C80841"/>
    <w:rsid w:val="00C80D60"/>
    <w:rsid w:val="00C81650"/>
    <w:rsid w:val="00C8288B"/>
    <w:rsid w:val="00C82FBD"/>
    <w:rsid w:val="00C8385D"/>
    <w:rsid w:val="00C83DF7"/>
    <w:rsid w:val="00C849F0"/>
    <w:rsid w:val="00C85267"/>
    <w:rsid w:val="00C8721B"/>
    <w:rsid w:val="00C87D71"/>
    <w:rsid w:val="00C91144"/>
    <w:rsid w:val="00C9114F"/>
    <w:rsid w:val="00C9235B"/>
    <w:rsid w:val="00C92D51"/>
    <w:rsid w:val="00C9372C"/>
    <w:rsid w:val="00C93766"/>
    <w:rsid w:val="00C9470E"/>
    <w:rsid w:val="00C955D7"/>
    <w:rsid w:val="00C95CEB"/>
    <w:rsid w:val="00C9657F"/>
    <w:rsid w:val="00C9687E"/>
    <w:rsid w:val="00CA1054"/>
    <w:rsid w:val="00CA1290"/>
    <w:rsid w:val="00CA129A"/>
    <w:rsid w:val="00CA1344"/>
    <w:rsid w:val="00CA1703"/>
    <w:rsid w:val="00CA20AF"/>
    <w:rsid w:val="00CA340B"/>
    <w:rsid w:val="00CA3D51"/>
    <w:rsid w:val="00CA45B8"/>
    <w:rsid w:val="00CA45EB"/>
    <w:rsid w:val="00CA4890"/>
    <w:rsid w:val="00CA49DB"/>
    <w:rsid w:val="00CA5201"/>
    <w:rsid w:val="00CA5842"/>
    <w:rsid w:val="00CA63EB"/>
    <w:rsid w:val="00CA69F1"/>
    <w:rsid w:val="00CA6D97"/>
    <w:rsid w:val="00CA7113"/>
    <w:rsid w:val="00CA724B"/>
    <w:rsid w:val="00CA73A3"/>
    <w:rsid w:val="00CB02A5"/>
    <w:rsid w:val="00CB0F26"/>
    <w:rsid w:val="00CB2232"/>
    <w:rsid w:val="00CB3DB3"/>
    <w:rsid w:val="00CB3EE2"/>
    <w:rsid w:val="00CB4711"/>
    <w:rsid w:val="00CB56D8"/>
    <w:rsid w:val="00CB6991"/>
    <w:rsid w:val="00CB6D27"/>
    <w:rsid w:val="00CB74E3"/>
    <w:rsid w:val="00CB7925"/>
    <w:rsid w:val="00CC0539"/>
    <w:rsid w:val="00CC108A"/>
    <w:rsid w:val="00CC14B3"/>
    <w:rsid w:val="00CC18B6"/>
    <w:rsid w:val="00CC19A2"/>
    <w:rsid w:val="00CC2644"/>
    <w:rsid w:val="00CC43D6"/>
    <w:rsid w:val="00CC4569"/>
    <w:rsid w:val="00CC49E5"/>
    <w:rsid w:val="00CC4E39"/>
    <w:rsid w:val="00CC5106"/>
    <w:rsid w:val="00CC531E"/>
    <w:rsid w:val="00CC5F83"/>
    <w:rsid w:val="00CC6194"/>
    <w:rsid w:val="00CC6305"/>
    <w:rsid w:val="00CC6928"/>
    <w:rsid w:val="00CC78A5"/>
    <w:rsid w:val="00CD0516"/>
    <w:rsid w:val="00CD295C"/>
    <w:rsid w:val="00CD2AFD"/>
    <w:rsid w:val="00CD3C00"/>
    <w:rsid w:val="00CD426B"/>
    <w:rsid w:val="00CD4BB7"/>
    <w:rsid w:val="00CD50B3"/>
    <w:rsid w:val="00CD64E7"/>
    <w:rsid w:val="00CD6C01"/>
    <w:rsid w:val="00CD756B"/>
    <w:rsid w:val="00CD78ED"/>
    <w:rsid w:val="00CD7D09"/>
    <w:rsid w:val="00CE0FDF"/>
    <w:rsid w:val="00CE352E"/>
    <w:rsid w:val="00CE3B26"/>
    <w:rsid w:val="00CE3C53"/>
    <w:rsid w:val="00CE4464"/>
    <w:rsid w:val="00CE48B6"/>
    <w:rsid w:val="00CE4CC4"/>
    <w:rsid w:val="00CE4E02"/>
    <w:rsid w:val="00CE6683"/>
    <w:rsid w:val="00CE68A9"/>
    <w:rsid w:val="00CE734F"/>
    <w:rsid w:val="00CE7B5A"/>
    <w:rsid w:val="00CF112E"/>
    <w:rsid w:val="00CF177B"/>
    <w:rsid w:val="00CF17AC"/>
    <w:rsid w:val="00CF1C83"/>
    <w:rsid w:val="00CF2823"/>
    <w:rsid w:val="00CF44F3"/>
    <w:rsid w:val="00CF481D"/>
    <w:rsid w:val="00CF5EB0"/>
    <w:rsid w:val="00CF5F4F"/>
    <w:rsid w:val="00D007AA"/>
    <w:rsid w:val="00D00B40"/>
    <w:rsid w:val="00D01B0D"/>
    <w:rsid w:val="00D02538"/>
    <w:rsid w:val="00D02C4C"/>
    <w:rsid w:val="00D02C99"/>
    <w:rsid w:val="00D03017"/>
    <w:rsid w:val="00D03B92"/>
    <w:rsid w:val="00D0525E"/>
    <w:rsid w:val="00D05415"/>
    <w:rsid w:val="00D056D3"/>
    <w:rsid w:val="00D06252"/>
    <w:rsid w:val="00D06499"/>
    <w:rsid w:val="00D101A6"/>
    <w:rsid w:val="00D1154F"/>
    <w:rsid w:val="00D1184F"/>
    <w:rsid w:val="00D12317"/>
    <w:rsid w:val="00D1232F"/>
    <w:rsid w:val="00D12739"/>
    <w:rsid w:val="00D146BD"/>
    <w:rsid w:val="00D1581B"/>
    <w:rsid w:val="00D1591A"/>
    <w:rsid w:val="00D15D1C"/>
    <w:rsid w:val="00D16BE5"/>
    <w:rsid w:val="00D16F0C"/>
    <w:rsid w:val="00D218DC"/>
    <w:rsid w:val="00D21C12"/>
    <w:rsid w:val="00D21CF6"/>
    <w:rsid w:val="00D235FE"/>
    <w:rsid w:val="00D24943"/>
    <w:rsid w:val="00D24E56"/>
    <w:rsid w:val="00D25610"/>
    <w:rsid w:val="00D25A35"/>
    <w:rsid w:val="00D25C9B"/>
    <w:rsid w:val="00D26883"/>
    <w:rsid w:val="00D2725C"/>
    <w:rsid w:val="00D31643"/>
    <w:rsid w:val="00D31AEB"/>
    <w:rsid w:val="00D32B36"/>
    <w:rsid w:val="00D32CB3"/>
    <w:rsid w:val="00D32ECD"/>
    <w:rsid w:val="00D34F3C"/>
    <w:rsid w:val="00D360BB"/>
    <w:rsid w:val="00D361E4"/>
    <w:rsid w:val="00D41255"/>
    <w:rsid w:val="00D415D3"/>
    <w:rsid w:val="00D42A8F"/>
    <w:rsid w:val="00D439F6"/>
    <w:rsid w:val="00D442C7"/>
    <w:rsid w:val="00D4496E"/>
    <w:rsid w:val="00D459C6"/>
    <w:rsid w:val="00D4687C"/>
    <w:rsid w:val="00D46D2A"/>
    <w:rsid w:val="00D47454"/>
    <w:rsid w:val="00D47E11"/>
    <w:rsid w:val="00D47FB4"/>
    <w:rsid w:val="00D50729"/>
    <w:rsid w:val="00D50C19"/>
    <w:rsid w:val="00D50E4C"/>
    <w:rsid w:val="00D5379E"/>
    <w:rsid w:val="00D54F57"/>
    <w:rsid w:val="00D579A1"/>
    <w:rsid w:val="00D6059B"/>
    <w:rsid w:val="00D60A04"/>
    <w:rsid w:val="00D621E2"/>
    <w:rsid w:val="00D622AE"/>
    <w:rsid w:val="00D62360"/>
    <w:rsid w:val="00D62643"/>
    <w:rsid w:val="00D63D43"/>
    <w:rsid w:val="00D6415D"/>
    <w:rsid w:val="00D64C0F"/>
    <w:rsid w:val="00D700A8"/>
    <w:rsid w:val="00D71703"/>
    <w:rsid w:val="00D71DD3"/>
    <w:rsid w:val="00D71F6C"/>
    <w:rsid w:val="00D71FB6"/>
    <w:rsid w:val="00D72EFE"/>
    <w:rsid w:val="00D72EFF"/>
    <w:rsid w:val="00D753E8"/>
    <w:rsid w:val="00D7569B"/>
    <w:rsid w:val="00D76227"/>
    <w:rsid w:val="00D77DF1"/>
    <w:rsid w:val="00D80B77"/>
    <w:rsid w:val="00D817DB"/>
    <w:rsid w:val="00D822E8"/>
    <w:rsid w:val="00D8294A"/>
    <w:rsid w:val="00D833EE"/>
    <w:rsid w:val="00D83CA3"/>
    <w:rsid w:val="00D83EBF"/>
    <w:rsid w:val="00D84450"/>
    <w:rsid w:val="00D84A33"/>
    <w:rsid w:val="00D84DBE"/>
    <w:rsid w:val="00D86AFF"/>
    <w:rsid w:val="00D86DEF"/>
    <w:rsid w:val="00D879D1"/>
    <w:rsid w:val="00D90410"/>
    <w:rsid w:val="00D91241"/>
    <w:rsid w:val="00D94616"/>
    <w:rsid w:val="00D95A44"/>
    <w:rsid w:val="00D95D16"/>
    <w:rsid w:val="00D96B86"/>
    <w:rsid w:val="00D976BB"/>
    <w:rsid w:val="00D97B45"/>
    <w:rsid w:val="00D97C76"/>
    <w:rsid w:val="00DA03DF"/>
    <w:rsid w:val="00DA125E"/>
    <w:rsid w:val="00DA1688"/>
    <w:rsid w:val="00DA1DA0"/>
    <w:rsid w:val="00DA1FDE"/>
    <w:rsid w:val="00DA3346"/>
    <w:rsid w:val="00DA3884"/>
    <w:rsid w:val="00DA3B3E"/>
    <w:rsid w:val="00DA4D4D"/>
    <w:rsid w:val="00DA5A98"/>
    <w:rsid w:val="00DA62FC"/>
    <w:rsid w:val="00DA7210"/>
    <w:rsid w:val="00DA7320"/>
    <w:rsid w:val="00DA73F1"/>
    <w:rsid w:val="00DA7D53"/>
    <w:rsid w:val="00DB02B4"/>
    <w:rsid w:val="00DB1ACB"/>
    <w:rsid w:val="00DB3360"/>
    <w:rsid w:val="00DB4033"/>
    <w:rsid w:val="00DB5045"/>
    <w:rsid w:val="00DB538D"/>
    <w:rsid w:val="00DB63DF"/>
    <w:rsid w:val="00DB6A82"/>
    <w:rsid w:val="00DB6D0A"/>
    <w:rsid w:val="00DC220F"/>
    <w:rsid w:val="00DC275C"/>
    <w:rsid w:val="00DC2E36"/>
    <w:rsid w:val="00DC393E"/>
    <w:rsid w:val="00DC4B0D"/>
    <w:rsid w:val="00DC5E3C"/>
    <w:rsid w:val="00DC5F95"/>
    <w:rsid w:val="00DC681D"/>
    <w:rsid w:val="00DC6BEA"/>
    <w:rsid w:val="00DC738F"/>
    <w:rsid w:val="00DC7E57"/>
    <w:rsid w:val="00DC7FE1"/>
    <w:rsid w:val="00DD0017"/>
    <w:rsid w:val="00DD06B0"/>
    <w:rsid w:val="00DD0C05"/>
    <w:rsid w:val="00DD2713"/>
    <w:rsid w:val="00DD2877"/>
    <w:rsid w:val="00DD3F3F"/>
    <w:rsid w:val="00DD415E"/>
    <w:rsid w:val="00DD5572"/>
    <w:rsid w:val="00DD5B58"/>
    <w:rsid w:val="00DD6237"/>
    <w:rsid w:val="00DD66EB"/>
    <w:rsid w:val="00DD7230"/>
    <w:rsid w:val="00DD7F4F"/>
    <w:rsid w:val="00DE0CC8"/>
    <w:rsid w:val="00DE21E1"/>
    <w:rsid w:val="00DE283C"/>
    <w:rsid w:val="00DE3D31"/>
    <w:rsid w:val="00DE425B"/>
    <w:rsid w:val="00DE44AD"/>
    <w:rsid w:val="00DE5D80"/>
    <w:rsid w:val="00DE6227"/>
    <w:rsid w:val="00DE6D93"/>
    <w:rsid w:val="00DE7826"/>
    <w:rsid w:val="00DE7B43"/>
    <w:rsid w:val="00DF0B80"/>
    <w:rsid w:val="00DF1896"/>
    <w:rsid w:val="00DF1CB3"/>
    <w:rsid w:val="00DF1F3E"/>
    <w:rsid w:val="00DF5412"/>
    <w:rsid w:val="00DF54BB"/>
    <w:rsid w:val="00DF58CD"/>
    <w:rsid w:val="00DF5926"/>
    <w:rsid w:val="00DF59D4"/>
    <w:rsid w:val="00DF5A5A"/>
    <w:rsid w:val="00DF5D35"/>
    <w:rsid w:val="00DF6275"/>
    <w:rsid w:val="00DF65DE"/>
    <w:rsid w:val="00DF677B"/>
    <w:rsid w:val="00DF74AB"/>
    <w:rsid w:val="00E019A5"/>
    <w:rsid w:val="00E01B4A"/>
    <w:rsid w:val="00E02EC8"/>
    <w:rsid w:val="00E03495"/>
    <w:rsid w:val="00E037F5"/>
    <w:rsid w:val="00E0408A"/>
    <w:rsid w:val="00E04E3E"/>
    <w:rsid w:val="00E04ECB"/>
    <w:rsid w:val="00E05A09"/>
    <w:rsid w:val="00E06CA1"/>
    <w:rsid w:val="00E0705B"/>
    <w:rsid w:val="00E11E9B"/>
    <w:rsid w:val="00E1223F"/>
    <w:rsid w:val="00E1276C"/>
    <w:rsid w:val="00E12900"/>
    <w:rsid w:val="00E132F9"/>
    <w:rsid w:val="00E13765"/>
    <w:rsid w:val="00E14273"/>
    <w:rsid w:val="00E15027"/>
    <w:rsid w:val="00E172B8"/>
    <w:rsid w:val="00E17FB4"/>
    <w:rsid w:val="00E201EB"/>
    <w:rsid w:val="00E20B75"/>
    <w:rsid w:val="00E20C54"/>
    <w:rsid w:val="00E214F2"/>
    <w:rsid w:val="00E2161C"/>
    <w:rsid w:val="00E226DF"/>
    <w:rsid w:val="00E23181"/>
    <w:rsid w:val="00E2371E"/>
    <w:rsid w:val="00E239B2"/>
    <w:rsid w:val="00E23FCD"/>
    <w:rsid w:val="00E24BD7"/>
    <w:rsid w:val="00E25595"/>
    <w:rsid w:val="00E25DAA"/>
    <w:rsid w:val="00E26523"/>
    <w:rsid w:val="00E26809"/>
    <w:rsid w:val="00E273DC"/>
    <w:rsid w:val="00E27719"/>
    <w:rsid w:val="00E30364"/>
    <w:rsid w:val="00E31873"/>
    <w:rsid w:val="00E3195D"/>
    <w:rsid w:val="00E32356"/>
    <w:rsid w:val="00E3412D"/>
    <w:rsid w:val="00E359EA"/>
    <w:rsid w:val="00E36743"/>
    <w:rsid w:val="00E36922"/>
    <w:rsid w:val="00E37034"/>
    <w:rsid w:val="00E37C00"/>
    <w:rsid w:val="00E40166"/>
    <w:rsid w:val="00E42C7D"/>
    <w:rsid w:val="00E43260"/>
    <w:rsid w:val="00E44BD7"/>
    <w:rsid w:val="00E46355"/>
    <w:rsid w:val="00E467AD"/>
    <w:rsid w:val="00E47202"/>
    <w:rsid w:val="00E52522"/>
    <w:rsid w:val="00E5261F"/>
    <w:rsid w:val="00E529DD"/>
    <w:rsid w:val="00E529ED"/>
    <w:rsid w:val="00E52EB6"/>
    <w:rsid w:val="00E53A88"/>
    <w:rsid w:val="00E53C8D"/>
    <w:rsid w:val="00E55078"/>
    <w:rsid w:val="00E552C5"/>
    <w:rsid w:val="00E57322"/>
    <w:rsid w:val="00E579A7"/>
    <w:rsid w:val="00E60B41"/>
    <w:rsid w:val="00E6173A"/>
    <w:rsid w:val="00E6242D"/>
    <w:rsid w:val="00E625A6"/>
    <w:rsid w:val="00E628CB"/>
    <w:rsid w:val="00E62AD9"/>
    <w:rsid w:val="00E62CE4"/>
    <w:rsid w:val="00E63408"/>
    <w:rsid w:val="00E638C8"/>
    <w:rsid w:val="00E63CD6"/>
    <w:rsid w:val="00E64170"/>
    <w:rsid w:val="00E66DA7"/>
    <w:rsid w:val="00E67E7C"/>
    <w:rsid w:val="00E703D3"/>
    <w:rsid w:val="00E70434"/>
    <w:rsid w:val="00E70716"/>
    <w:rsid w:val="00E70E96"/>
    <w:rsid w:val="00E7306A"/>
    <w:rsid w:val="00E73804"/>
    <w:rsid w:val="00E7383D"/>
    <w:rsid w:val="00E7509B"/>
    <w:rsid w:val="00E754DC"/>
    <w:rsid w:val="00E75C92"/>
    <w:rsid w:val="00E75EEC"/>
    <w:rsid w:val="00E75F42"/>
    <w:rsid w:val="00E76463"/>
    <w:rsid w:val="00E767ED"/>
    <w:rsid w:val="00E77F14"/>
    <w:rsid w:val="00E8111C"/>
    <w:rsid w:val="00E81368"/>
    <w:rsid w:val="00E8286D"/>
    <w:rsid w:val="00E8325D"/>
    <w:rsid w:val="00E839FD"/>
    <w:rsid w:val="00E8493D"/>
    <w:rsid w:val="00E84C5F"/>
    <w:rsid w:val="00E86590"/>
    <w:rsid w:val="00E8668B"/>
    <w:rsid w:val="00E866E7"/>
    <w:rsid w:val="00E86A3B"/>
    <w:rsid w:val="00E87C43"/>
    <w:rsid w:val="00E87FF5"/>
    <w:rsid w:val="00E907FF"/>
    <w:rsid w:val="00E90B23"/>
    <w:rsid w:val="00E911F7"/>
    <w:rsid w:val="00E91BE9"/>
    <w:rsid w:val="00E9302D"/>
    <w:rsid w:val="00E94570"/>
    <w:rsid w:val="00E9725D"/>
    <w:rsid w:val="00E972F2"/>
    <w:rsid w:val="00EA092A"/>
    <w:rsid w:val="00EA243F"/>
    <w:rsid w:val="00EA308E"/>
    <w:rsid w:val="00EA372A"/>
    <w:rsid w:val="00EA3A71"/>
    <w:rsid w:val="00EA3BC8"/>
    <w:rsid w:val="00EA407F"/>
    <w:rsid w:val="00EA42D1"/>
    <w:rsid w:val="00EA42EF"/>
    <w:rsid w:val="00EA63F9"/>
    <w:rsid w:val="00EA7771"/>
    <w:rsid w:val="00EB21C9"/>
    <w:rsid w:val="00EB2DD1"/>
    <w:rsid w:val="00EB3D13"/>
    <w:rsid w:val="00EB48BB"/>
    <w:rsid w:val="00EB4BF1"/>
    <w:rsid w:val="00EB632D"/>
    <w:rsid w:val="00EB658D"/>
    <w:rsid w:val="00EB65CD"/>
    <w:rsid w:val="00EB6B37"/>
    <w:rsid w:val="00EB7312"/>
    <w:rsid w:val="00EB79AD"/>
    <w:rsid w:val="00EC0D6B"/>
    <w:rsid w:val="00EC1213"/>
    <w:rsid w:val="00EC2165"/>
    <w:rsid w:val="00EC29FE"/>
    <w:rsid w:val="00EC2A72"/>
    <w:rsid w:val="00EC35F3"/>
    <w:rsid w:val="00EC35FE"/>
    <w:rsid w:val="00EC3C70"/>
    <w:rsid w:val="00EC4339"/>
    <w:rsid w:val="00EC43A6"/>
    <w:rsid w:val="00EC6681"/>
    <w:rsid w:val="00ED0872"/>
    <w:rsid w:val="00ED0AB7"/>
    <w:rsid w:val="00ED0CB9"/>
    <w:rsid w:val="00ED0EC7"/>
    <w:rsid w:val="00ED16AF"/>
    <w:rsid w:val="00ED2009"/>
    <w:rsid w:val="00ED23F6"/>
    <w:rsid w:val="00ED257A"/>
    <w:rsid w:val="00ED3780"/>
    <w:rsid w:val="00ED3982"/>
    <w:rsid w:val="00ED3A3D"/>
    <w:rsid w:val="00ED538A"/>
    <w:rsid w:val="00ED6A97"/>
    <w:rsid w:val="00ED6FBC"/>
    <w:rsid w:val="00ED751D"/>
    <w:rsid w:val="00EE069E"/>
    <w:rsid w:val="00EE1521"/>
    <w:rsid w:val="00EE273D"/>
    <w:rsid w:val="00EE2F16"/>
    <w:rsid w:val="00EE2F55"/>
    <w:rsid w:val="00EE3640"/>
    <w:rsid w:val="00EE3861"/>
    <w:rsid w:val="00EE5A1D"/>
    <w:rsid w:val="00EE5D2D"/>
    <w:rsid w:val="00EE5F63"/>
    <w:rsid w:val="00EE776C"/>
    <w:rsid w:val="00EF0B2E"/>
    <w:rsid w:val="00EF0D52"/>
    <w:rsid w:val="00EF0FD5"/>
    <w:rsid w:val="00EF1805"/>
    <w:rsid w:val="00EF2E73"/>
    <w:rsid w:val="00EF38D5"/>
    <w:rsid w:val="00EF3906"/>
    <w:rsid w:val="00EF4AEA"/>
    <w:rsid w:val="00EF4E1C"/>
    <w:rsid w:val="00EF5A95"/>
    <w:rsid w:val="00EF6556"/>
    <w:rsid w:val="00EF698B"/>
    <w:rsid w:val="00EF6F56"/>
    <w:rsid w:val="00EF7683"/>
    <w:rsid w:val="00EF7A2D"/>
    <w:rsid w:val="00F00AB3"/>
    <w:rsid w:val="00F0169A"/>
    <w:rsid w:val="00F02A5D"/>
    <w:rsid w:val="00F035D2"/>
    <w:rsid w:val="00F03FD7"/>
    <w:rsid w:val="00F0452B"/>
    <w:rsid w:val="00F0466A"/>
    <w:rsid w:val="00F04F8D"/>
    <w:rsid w:val="00F05AB8"/>
    <w:rsid w:val="00F060C9"/>
    <w:rsid w:val="00F0650F"/>
    <w:rsid w:val="00F06722"/>
    <w:rsid w:val="00F07929"/>
    <w:rsid w:val="00F10AD0"/>
    <w:rsid w:val="00F116CC"/>
    <w:rsid w:val="00F12BD1"/>
    <w:rsid w:val="00F12D42"/>
    <w:rsid w:val="00F132FD"/>
    <w:rsid w:val="00F13D4C"/>
    <w:rsid w:val="00F141AD"/>
    <w:rsid w:val="00F151E2"/>
    <w:rsid w:val="00F15287"/>
    <w:rsid w:val="00F15327"/>
    <w:rsid w:val="00F16479"/>
    <w:rsid w:val="00F16585"/>
    <w:rsid w:val="00F168CF"/>
    <w:rsid w:val="00F16A72"/>
    <w:rsid w:val="00F17763"/>
    <w:rsid w:val="00F17BEF"/>
    <w:rsid w:val="00F22102"/>
    <w:rsid w:val="00F22806"/>
    <w:rsid w:val="00F24A71"/>
    <w:rsid w:val="00F2555C"/>
    <w:rsid w:val="00F25A0B"/>
    <w:rsid w:val="00F260F3"/>
    <w:rsid w:val="00F26A65"/>
    <w:rsid w:val="00F278A7"/>
    <w:rsid w:val="00F27B87"/>
    <w:rsid w:val="00F27D43"/>
    <w:rsid w:val="00F27D7E"/>
    <w:rsid w:val="00F313CD"/>
    <w:rsid w:val="00F314FC"/>
    <w:rsid w:val="00F314FD"/>
    <w:rsid w:val="00F3190D"/>
    <w:rsid w:val="00F31DF3"/>
    <w:rsid w:val="00F3255D"/>
    <w:rsid w:val="00F33AE5"/>
    <w:rsid w:val="00F34F6E"/>
    <w:rsid w:val="00F357E1"/>
    <w:rsid w:val="00F3597D"/>
    <w:rsid w:val="00F3724B"/>
    <w:rsid w:val="00F401E8"/>
    <w:rsid w:val="00F408F1"/>
    <w:rsid w:val="00F4201E"/>
    <w:rsid w:val="00F422B0"/>
    <w:rsid w:val="00F4376D"/>
    <w:rsid w:val="00F442FA"/>
    <w:rsid w:val="00F4448D"/>
    <w:rsid w:val="00F45399"/>
    <w:rsid w:val="00F4600F"/>
    <w:rsid w:val="00F465EA"/>
    <w:rsid w:val="00F471A3"/>
    <w:rsid w:val="00F4795D"/>
    <w:rsid w:val="00F47D1C"/>
    <w:rsid w:val="00F501A2"/>
    <w:rsid w:val="00F50223"/>
    <w:rsid w:val="00F514FC"/>
    <w:rsid w:val="00F51774"/>
    <w:rsid w:val="00F51777"/>
    <w:rsid w:val="00F52D54"/>
    <w:rsid w:val="00F5355E"/>
    <w:rsid w:val="00F54E7B"/>
    <w:rsid w:val="00F55293"/>
    <w:rsid w:val="00F554D4"/>
    <w:rsid w:val="00F55A88"/>
    <w:rsid w:val="00F55D49"/>
    <w:rsid w:val="00F56A84"/>
    <w:rsid w:val="00F57172"/>
    <w:rsid w:val="00F577D3"/>
    <w:rsid w:val="00F6042C"/>
    <w:rsid w:val="00F61645"/>
    <w:rsid w:val="00F62377"/>
    <w:rsid w:val="00F62D25"/>
    <w:rsid w:val="00F6339A"/>
    <w:rsid w:val="00F63B94"/>
    <w:rsid w:val="00F64797"/>
    <w:rsid w:val="00F65A07"/>
    <w:rsid w:val="00F67BFD"/>
    <w:rsid w:val="00F702CD"/>
    <w:rsid w:val="00F71550"/>
    <w:rsid w:val="00F71DAE"/>
    <w:rsid w:val="00F72019"/>
    <w:rsid w:val="00F72540"/>
    <w:rsid w:val="00F72775"/>
    <w:rsid w:val="00F74005"/>
    <w:rsid w:val="00F75AE4"/>
    <w:rsid w:val="00F75F7F"/>
    <w:rsid w:val="00F764BE"/>
    <w:rsid w:val="00F7682F"/>
    <w:rsid w:val="00F76884"/>
    <w:rsid w:val="00F76FF4"/>
    <w:rsid w:val="00F77D82"/>
    <w:rsid w:val="00F801BD"/>
    <w:rsid w:val="00F821F3"/>
    <w:rsid w:val="00F83439"/>
    <w:rsid w:val="00F83D24"/>
    <w:rsid w:val="00F83DD9"/>
    <w:rsid w:val="00F83F40"/>
    <w:rsid w:val="00F83FCD"/>
    <w:rsid w:val="00F84296"/>
    <w:rsid w:val="00F84BA5"/>
    <w:rsid w:val="00F863BB"/>
    <w:rsid w:val="00F90163"/>
    <w:rsid w:val="00F90269"/>
    <w:rsid w:val="00F91C76"/>
    <w:rsid w:val="00F931B6"/>
    <w:rsid w:val="00F93252"/>
    <w:rsid w:val="00F93D3B"/>
    <w:rsid w:val="00F94119"/>
    <w:rsid w:val="00F96160"/>
    <w:rsid w:val="00F96745"/>
    <w:rsid w:val="00F96D61"/>
    <w:rsid w:val="00F97D57"/>
    <w:rsid w:val="00FA03F7"/>
    <w:rsid w:val="00FA0BD7"/>
    <w:rsid w:val="00FA0D4E"/>
    <w:rsid w:val="00FA117A"/>
    <w:rsid w:val="00FA211B"/>
    <w:rsid w:val="00FA2281"/>
    <w:rsid w:val="00FA2E53"/>
    <w:rsid w:val="00FA3374"/>
    <w:rsid w:val="00FA3D04"/>
    <w:rsid w:val="00FA44F9"/>
    <w:rsid w:val="00FA55AA"/>
    <w:rsid w:val="00FA5D4A"/>
    <w:rsid w:val="00FB00D6"/>
    <w:rsid w:val="00FB012E"/>
    <w:rsid w:val="00FB0360"/>
    <w:rsid w:val="00FB040B"/>
    <w:rsid w:val="00FB0D61"/>
    <w:rsid w:val="00FB0DC6"/>
    <w:rsid w:val="00FB1C6A"/>
    <w:rsid w:val="00FB386A"/>
    <w:rsid w:val="00FB4E07"/>
    <w:rsid w:val="00FB7C95"/>
    <w:rsid w:val="00FC0248"/>
    <w:rsid w:val="00FC0786"/>
    <w:rsid w:val="00FC3FB7"/>
    <w:rsid w:val="00FC49EF"/>
    <w:rsid w:val="00FC5A76"/>
    <w:rsid w:val="00FC5BE5"/>
    <w:rsid w:val="00FD1373"/>
    <w:rsid w:val="00FD1FCE"/>
    <w:rsid w:val="00FD39E5"/>
    <w:rsid w:val="00FD501C"/>
    <w:rsid w:val="00FD54E1"/>
    <w:rsid w:val="00FD599E"/>
    <w:rsid w:val="00FD7446"/>
    <w:rsid w:val="00FD7E43"/>
    <w:rsid w:val="00FE0C3F"/>
    <w:rsid w:val="00FE0EB4"/>
    <w:rsid w:val="00FE0FFD"/>
    <w:rsid w:val="00FE16F8"/>
    <w:rsid w:val="00FE1BB4"/>
    <w:rsid w:val="00FE2F03"/>
    <w:rsid w:val="00FE36E2"/>
    <w:rsid w:val="00FE48A6"/>
    <w:rsid w:val="00FE5CF3"/>
    <w:rsid w:val="00FE7005"/>
    <w:rsid w:val="00FE7D3C"/>
    <w:rsid w:val="00FE7F55"/>
    <w:rsid w:val="00FF0071"/>
    <w:rsid w:val="00FF05BC"/>
    <w:rsid w:val="00FF082A"/>
    <w:rsid w:val="00FF0D8F"/>
    <w:rsid w:val="00FF11AD"/>
    <w:rsid w:val="00FF147F"/>
    <w:rsid w:val="00FF2971"/>
    <w:rsid w:val="00FF34D4"/>
    <w:rsid w:val="00FF3759"/>
    <w:rsid w:val="00FF393D"/>
    <w:rsid w:val="00FF3CA2"/>
    <w:rsid w:val="00FF573B"/>
    <w:rsid w:val="00FF668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BE5D6"/>
  <w15:chartTrackingRefBased/>
  <w15:docId w15:val="{3123AC3F-B01C-4FF9-B365-D6F0F732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4FC"/>
    <w:pPr>
      <w:spacing w:line="276" w:lineRule="auto"/>
    </w:pPr>
    <w:rPr>
      <w:sz w:val="22"/>
      <w:szCs w:val="22"/>
      <w:lang w:val="pl-PL"/>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291B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7C0774"/>
    <w:pPr>
      <w:suppressAutoHyphens/>
      <w:autoSpaceDE w:val="0"/>
      <w:autoSpaceDN w:val="0"/>
      <w:adjustRightInd w:val="0"/>
      <w:spacing w:before="120" w:after="200" w:line="360" w:lineRule="auto"/>
      <w:ind w:firstLine="510"/>
      <w:jc w:val="both"/>
    </w:pPr>
    <w:rPr>
      <w:rFonts w:ascii="Times" w:eastAsia="Times New Roman" w:hAnsi="Times" w:cs="Arial"/>
      <w:sz w:val="24"/>
      <w:szCs w:val="22"/>
      <w:lang w:val="pl-PL" w:eastAsia="pl-PL"/>
    </w:rPr>
  </w:style>
  <w:style w:type="character" w:customStyle="1" w:styleId="PKpogrubieniekursywa">
    <w:name w:val="_P_K_ – pogrubienie kursywa"/>
    <w:uiPriority w:val="1"/>
    <w:qFormat/>
    <w:rsid w:val="00D83EBF"/>
    <w:rPr>
      <w:b/>
      <w:i/>
    </w:rPr>
  </w:style>
  <w:style w:type="paragraph" w:customStyle="1" w:styleId="ZUSTzmustartykuempunktem">
    <w:name w:val="Z/UST(§) – zm. ust. (§) artykułem (punktem)"/>
    <w:basedOn w:val="Normalny"/>
    <w:uiPriority w:val="30"/>
    <w:qFormat/>
    <w:rsid w:val="00CC2644"/>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1184F"/>
    <w:pPr>
      <w:suppressAutoHyphens/>
      <w:adjustRightInd w:val="0"/>
      <w:spacing w:before="120" w:after="200" w:line="360" w:lineRule="auto"/>
      <w:ind w:firstLine="510"/>
      <w:jc w:val="both"/>
    </w:pPr>
    <w:rPr>
      <w:rFonts w:ascii="Times" w:eastAsia="SimSun" w:hAnsi="Times" w:cs="Arial"/>
      <w:bCs/>
      <w:sz w:val="24"/>
      <w:lang w:eastAsia="pl-PL"/>
    </w:rPr>
  </w:style>
  <w:style w:type="character" w:customStyle="1" w:styleId="Nierozpoznanawzmianka1">
    <w:name w:val="Nierozpoznana wzmianka1"/>
    <w:uiPriority w:val="99"/>
    <w:semiHidden/>
    <w:unhideWhenUsed/>
    <w:rsid w:val="00057646"/>
    <w:rPr>
      <w:color w:val="605E5C"/>
      <w:shd w:val="clear" w:color="auto" w:fill="E1DFDD"/>
    </w:rPr>
  </w:style>
  <w:style w:type="paragraph" w:styleId="Poprawka">
    <w:name w:val="Revision"/>
    <w:hidden/>
    <w:uiPriority w:val="99"/>
    <w:semiHidden/>
    <w:rsid w:val="003B03AB"/>
    <w:rPr>
      <w:sz w:val="22"/>
      <w:szCs w:val="22"/>
      <w:lang w:val="pl-PL"/>
    </w:rPr>
  </w:style>
  <w:style w:type="paragraph" w:customStyle="1" w:styleId="h1chapter">
    <w:name w:val="h1.chapter"/>
    <w:uiPriority w:val="99"/>
    <w:rsid w:val="00152275"/>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lang w:val="pl-PL" w:eastAsia="pl-PL"/>
    </w:rPr>
  </w:style>
  <w:style w:type="character" w:customStyle="1" w:styleId="A9">
    <w:name w:val="A9"/>
    <w:uiPriority w:val="99"/>
    <w:rsid w:val="00D02538"/>
    <w:rPr>
      <w:rFonts w:cs="Acumin Pro Condensed Medium"/>
      <w:color w:val="000000"/>
      <w:sz w:val="22"/>
      <w:szCs w:val="22"/>
    </w:rPr>
  </w:style>
  <w:style w:type="character" w:customStyle="1" w:styleId="A5">
    <w:name w:val="A5"/>
    <w:uiPriority w:val="99"/>
    <w:rsid w:val="00D02538"/>
    <w:rPr>
      <w:rFonts w:cs="Acumin Pro Condensed"/>
      <w:color w:val="000000"/>
      <w:sz w:val="18"/>
      <w:szCs w:val="18"/>
    </w:rPr>
  </w:style>
  <w:style w:type="character" w:customStyle="1" w:styleId="Nagwek2Znak">
    <w:name w:val="Nagłówek 2 Znak"/>
    <w:basedOn w:val="Domylnaczcionkaakapitu"/>
    <w:link w:val="Nagwek2"/>
    <w:semiHidden/>
    <w:rsid w:val="00291B2C"/>
    <w:rPr>
      <w:rFonts w:asciiTheme="majorHAnsi" w:eastAsiaTheme="majorEastAsia" w:hAnsiTheme="majorHAnsi" w:cstheme="majorBidi"/>
      <w:color w:val="2F5496" w:themeColor="accent1" w:themeShade="BF"/>
      <w:sz w:val="26"/>
      <w:szCs w:val="26"/>
      <w:lang w:val="pl-PL"/>
    </w:rPr>
  </w:style>
  <w:style w:type="character" w:customStyle="1" w:styleId="AkapitzlistZnak">
    <w:name w:val="Akapit z listą Znak"/>
    <w:link w:val="Akapitzlist"/>
    <w:uiPriority w:val="34"/>
    <w:rsid w:val="00D84DBE"/>
    <w:rPr>
      <w:sz w:val="22"/>
      <w:szCs w:val="22"/>
      <w:lang w:val="pl-PL"/>
    </w:rPr>
  </w:style>
  <w:style w:type="paragraph" w:customStyle="1" w:styleId="Default">
    <w:name w:val="Default"/>
    <w:rsid w:val="00CA73A3"/>
    <w:pPr>
      <w:autoSpaceDE w:val="0"/>
      <w:autoSpaceDN w:val="0"/>
      <w:adjustRightInd w:val="0"/>
    </w:pPr>
    <w:rPr>
      <w:rFonts w:cs="Calibri"/>
      <w:color w:val="000000"/>
      <w:sz w:val="24"/>
      <w:szCs w:val="24"/>
      <w:lang w:val="pl-PL"/>
    </w:rPr>
  </w:style>
  <w:style w:type="character" w:customStyle="1" w:styleId="Nierozpoznanawzmianka2">
    <w:name w:val="Nierozpoznana wzmianka2"/>
    <w:basedOn w:val="Domylnaczcionkaakapitu"/>
    <w:uiPriority w:val="99"/>
    <w:semiHidden/>
    <w:unhideWhenUsed/>
    <w:rsid w:val="00CA73A3"/>
    <w:rPr>
      <w:color w:val="605E5C"/>
      <w:shd w:val="clear" w:color="auto" w:fill="E1DFDD"/>
    </w:rPr>
  </w:style>
  <w:style w:type="paragraph" w:customStyle="1" w:styleId="urepodpis">
    <w:name w:val="urepodpis"/>
    <w:basedOn w:val="Normalny"/>
    <w:rsid w:val="00CA73A3"/>
    <w:pPr>
      <w:spacing w:line="288" w:lineRule="auto"/>
      <w:ind w:left="5925"/>
    </w:pPr>
    <w:rPr>
      <w:rFonts w:ascii="Cambria" w:eastAsiaTheme="minorHAnsi" w:hAnsi="Cambria" w:cs="Calibri"/>
      <w:sz w:val="20"/>
      <w:szCs w:val="20"/>
      <w:lang w:eastAsia="pl-PL"/>
    </w:rPr>
  </w:style>
  <w:style w:type="character" w:customStyle="1" w:styleId="highlight">
    <w:name w:val="highlight"/>
    <w:basedOn w:val="Domylnaczcionkaakapitu"/>
    <w:rsid w:val="00CA73A3"/>
  </w:style>
  <w:style w:type="paragraph" w:customStyle="1" w:styleId="divpoint">
    <w:name w:val="div.point"/>
    <w:uiPriority w:val="99"/>
    <w:rsid w:val="00941DDC"/>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ierozpoznanawzmianka3">
    <w:name w:val="Nierozpoznana wzmianka3"/>
    <w:basedOn w:val="Domylnaczcionkaakapitu"/>
    <w:uiPriority w:val="99"/>
    <w:semiHidden/>
    <w:unhideWhenUsed/>
    <w:rsid w:val="004304FA"/>
    <w:rPr>
      <w:color w:val="605E5C"/>
      <w:shd w:val="clear" w:color="auto" w:fill="E1DFDD"/>
    </w:rPr>
  </w:style>
  <w:style w:type="character" w:customStyle="1" w:styleId="jlqj4b">
    <w:name w:val="jlqj4b"/>
    <w:basedOn w:val="Domylnaczcionkaakapitu"/>
    <w:rsid w:val="008A6963"/>
  </w:style>
  <w:style w:type="paragraph" w:styleId="NormalnyWeb">
    <w:name w:val="Normal (Web)"/>
    <w:basedOn w:val="Normalny"/>
    <w:uiPriority w:val="99"/>
    <w:semiHidden/>
    <w:unhideWhenUsed/>
    <w:rsid w:val="00CC6928"/>
    <w:pPr>
      <w:spacing w:before="100" w:beforeAutospacing="1" w:after="100" w:afterAutospacing="1" w:line="240" w:lineRule="auto"/>
    </w:pPr>
    <w:rPr>
      <w:rFonts w:ascii="Times New Roman" w:eastAsia="Times New Roman" w:hAnsi="Times New Roman"/>
      <w:sz w:val="24"/>
      <w:szCs w:val="24"/>
      <w:lang w:val="en-US"/>
    </w:rPr>
  </w:style>
  <w:style w:type="table" w:styleId="Tabelasiatki5ciemna">
    <w:name w:val="Grid Table 5 Dark"/>
    <w:basedOn w:val="Standardowy"/>
    <w:uiPriority w:val="50"/>
    <w:rsid w:val="006E79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3">
    <w:name w:val="Grid Table 5 Dark Accent 3"/>
    <w:basedOn w:val="Standardowy"/>
    <w:uiPriority w:val="50"/>
    <w:rsid w:val="006E79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5">
    <w:name w:val="Grid Table 5 Dark Accent 5"/>
    <w:basedOn w:val="Standardowy"/>
    <w:uiPriority w:val="50"/>
    <w:rsid w:val="00975D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Nierozpoznanawzmianka4">
    <w:name w:val="Nierozpoznana wzmianka4"/>
    <w:basedOn w:val="Domylnaczcionkaakapitu"/>
    <w:uiPriority w:val="99"/>
    <w:semiHidden/>
    <w:unhideWhenUsed/>
    <w:rsid w:val="009E16C3"/>
    <w:rPr>
      <w:color w:val="605E5C"/>
      <w:shd w:val="clear" w:color="auto" w:fill="E1DFDD"/>
    </w:rPr>
  </w:style>
  <w:style w:type="character" w:customStyle="1" w:styleId="markedcontent">
    <w:name w:val="markedcontent"/>
    <w:basedOn w:val="Domylnaczcionkaakapitu"/>
    <w:rsid w:val="00A31748"/>
  </w:style>
  <w:style w:type="table" w:styleId="Tabelasiatki5ciemnaakcent6">
    <w:name w:val="Grid Table 5 Dark Accent 6"/>
    <w:basedOn w:val="Standardowy"/>
    <w:uiPriority w:val="50"/>
    <w:rsid w:val="00D00B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footnote-0020text">
    <w:name w:val="footnote-0020text"/>
    <w:basedOn w:val="Normalny"/>
    <w:rsid w:val="001C24CF"/>
    <w:pPr>
      <w:spacing w:after="120" w:line="280" w:lineRule="atLeast"/>
      <w:ind w:left="720" w:hanging="720"/>
      <w:jc w:val="both"/>
    </w:pPr>
    <w:rPr>
      <w:rFonts w:ascii="Times New Roman" w:eastAsia="Times New Roman" w:hAnsi="Times New Roman"/>
      <w:sz w:val="16"/>
      <w:szCs w:val="16"/>
      <w:lang w:eastAsia="pl-PL"/>
    </w:rPr>
  </w:style>
  <w:style w:type="character" w:customStyle="1" w:styleId="Nierozpoznanawzmianka5">
    <w:name w:val="Nierozpoznana wzmianka5"/>
    <w:basedOn w:val="Domylnaczcionkaakapitu"/>
    <w:uiPriority w:val="99"/>
    <w:semiHidden/>
    <w:unhideWhenUsed/>
    <w:rsid w:val="008651C9"/>
    <w:rPr>
      <w:color w:val="605E5C"/>
      <w:shd w:val="clear" w:color="auto" w:fill="E1DFDD"/>
    </w:rPr>
  </w:style>
  <w:style w:type="character" w:customStyle="1" w:styleId="Nierozpoznanawzmianka6">
    <w:name w:val="Nierozpoznana wzmianka6"/>
    <w:basedOn w:val="Domylnaczcionkaakapitu"/>
    <w:uiPriority w:val="99"/>
    <w:semiHidden/>
    <w:unhideWhenUsed/>
    <w:rsid w:val="005B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1424447">
      <w:bodyDiv w:val="1"/>
      <w:marLeft w:val="0"/>
      <w:marRight w:val="0"/>
      <w:marTop w:val="0"/>
      <w:marBottom w:val="0"/>
      <w:divBdr>
        <w:top w:val="none" w:sz="0" w:space="0" w:color="auto"/>
        <w:left w:val="none" w:sz="0" w:space="0" w:color="auto"/>
        <w:bottom w:val="none" w:sz="0" w:space="0" w:color="auto"/>
        <w:right w:val="none" w:sz="0" w:space="0" w:color="auto"/>
      </w:divBdr>
    </w:div>
    <w:div w:id="48505987">
      <w:bodyDiv w:val="1"/>
      <w:marLeft w:val="0"/>
      <w:marRight w:val="0"/>
      <w:marTop w:val="0"/>
      <w:marBottom w:val="0"/>
      <w:divBdr>
        <w:top w:val="none" w:sz="0" w:space="0" w:color="auto"/>
        <w:left w:val="none" w:sz="0" w:space="0" w:color="auto"/>
        <w:bottom w:val="none" w:sz="0" w:space="0" w:color="auto"/>
        <w:right w:val="none" w:sz="0" w:space="0" w:color="auto"/>
      </w:divBdr>
    </w:div>
    <w:div w:id="78215981">
      <w:bodyDiv w:val="1"/>
      <w:marLeft w:val="0"/>
      <w:marRight w:val="0"/>
      <w:marTop w:val="0"/>
      <w:marBottom w:val="0"/>
      <w:divBdr>
        <w:top w:val="none" w:sz="0" w:space="0" w:color="auto"/>
        <w:left w:val="none" w:sz="0" w:space="0" w:color="auto"/>
        <w:bottom w:val="none" w:sz="0" w:space="0" w:color="auto"/>
        <w:right w:val="none" w:sz="0" w:space="0" w:color="auto"/>
      </w:divBdr>
    </w:div>
    <w:div w:id="108548325">
      <w:bodyDiv w:val="1"/>
      <w:marLeft w:val="0"/>
      <w:marRight w:val="0"/>
      <w:marTop w:val="0"/>
      <w:marBottom w:val="0"/>
      <w:divBdr>
        <w:top w:val="none" w:sz="0" w:space="0" w:color="auto"/>
        <w:left w:val="none" w:sz="0" w:space="0" w:color="auto"/>
        <w:bottom w:val="none" w:sz="0" w:space="0" w:color="auto"/>
        <w:right w:val="none" w:sz="0" w:space="0" w:color="auto"/>
      </w:divBdr>
    </w:div>
    <w:div w:id="121729276">
      <w:bodyDiv w:val="1"/>
      <w:marLeft w:val="0"/>
      <w:marRight w:val="0"/>
      <w:marTop w:val="0"/>
      <w:marBottom w:val="0"/>
      <w:divBdr>
        <w:top w:val="none" w:sz="0" w:space="0" w:color="auto"/>
        <w:left w:val="none" w:sz="0" w:space="0" w:color="auto"/>
        <w:bottom w:val="none" w:sz="0" w:space="0" w:color="auto"/>
        <w:right w:val="none" w:sz="0" w:space="0" w:color="auto"/>
      </w:divBdr>
    </w:div>
    <w:div w:id="14720805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7060491">
      <w:bodyDiv w:val="1"/>
      <w:marLeft w:val="0"/>
      <w:marRight w:val="0"/>
      <w:marTop w:val="0"/>
      <w:marBottom w:val="0"/>
      <w:divBdr>
        <w:top w:val="none" w:sz="0" w:space="0" w:color="auto"/>
        <w:left w:val="none" w:sz="0" w:space="0" w:color="auto"/>
        <w:bottom w:val="none" w:sz="0" w:space="0" w:color="auto"/>
        <w:right w:val="none" w:sz="0" w:space="0" w:color="auto"/>
      </w:divBdr>
    </w:div>
    <w:div w:id="229655107">
      <w:bodyDiv w:val="1"/>
      <w:marLeft w:val="0"/>
      <w:marRight w:val="0"/>
      <w:marTop w:val="0"/>
      <w:marBottom w:val="0"/>
      <w:divBdr>
        <w:top w:val="none" w:sz="0" w:space="0" w:color="auto"/>
        <w:left w:val="none" w:sz="0" w:space="0" w:color="auto"/>
        <w:bottom w:val="none" w:sz="0" w:space="0" w:color="auto"/>
        <w:right w:val="none" w:sz="0" w:space="0" w:color="auto"/>
      </w:divBdr>
    </w:div>
    <w:div w:id="262956734">
      <w:bodyDiv w:val="1"/>
      <w:marLeft w:val="0"/>
      <w:marRight w:val="0"/>
      <w:marTop w:val="0"/>
      <w:marBottom w:val="0"/>
      <w:divBdr>
        <w:top w:val="none" w:sz="0" w:space="0" w:color="auto"/>
        <w:left w:val="none" w:sz="0" w:space="0" w:color="auto"/>
        <w:bottom w:val="none" w:sz="0" w:space="0" w:color="auto"/>
        <w:right w:val="none" w:sz="0" w:space="0" w:color="auto"/>
      </w:divBdr>
    </w:div>
    <w:div w:id="267591124">
      <w:bodyDiv w:val="1"/>
      <w:marLeft w:val="0"/>
      <w:marRight w:val="0"/>
      <w:marTop w:val="0"/>
      <w:marBottom w:val="0"/>
      <w:divBdr>
        <w:top w:val="none" w:sz="0" w:space="0" w:color="auto"/>
        <w:left w:val="none" w:sz="0" w:space="0" w:color="auto"/>
        <w:bottom w:val="none" w:sz="0" w:space="0" w:color="auto"/>
        <w:right w:val="none" w:sz="0" w:space="0" w:color="auto"/>
      </w:divBdr>
    </w:div>
    <w:div w:id="290478995">
      <w:bodyDiv w:val="1"/>
      <w:marLeft w:val="0"/>
      <w:marRight w:val="0"/>
      <w:marTop w:val="0"/>
      <w:marBottom w:val="0"/>
      <w:divBdr>
        <w:top w:val="none" w:sz="0" w:space="0" w:color="auto"/>
        <w:left w:val="none" w:sz="0" w:space="0" w:color="auto"/>
        <w:bottom w:val="none" w:sz="0" w:space="0" w:color="auto"/>
        <w:right w:val="none" w:sz="0" w:space="0" w:color="auto"/>
      </w:divBdr>
      <w:divsChild>
        <w:div w:id="1469855428">
          <w:marLeft w:val="0"/>
          <w:marRight w:val="0"/>
          <w:marTop w:val="0"/>
          <w:marBottom w:val="0"/>
          <w:divBdr>
            <w:top w:val="none" w:sz="0" w:space="0" w:color="auto"/>
            <w:left w:val="none" w:sz="0" w:space="0" w:color="auto"/>
            <w:bottom w:val="none" w:sz="0" w:space="0" w:color="auto"/>
            <w:right w:val="none" w:sz="0" w:space="0" w:color="auto"/>
          </w:divBdr>
        </w:div>
      </w:divsChild>
    </w:div>
    <w:div w:id="323436290">
      <w:bodyDiv w:val="1"/>
      <w:marLeft w:val="0"/>
      <w:marRight w:val="0"/>
      <w:marTop w:val="0"/>
      <w:marBottom w:val="0"/>
      <w:divBdr>
        <w:top w:val="none" w:sz="0" w:space="0" w:color="auto"/>
        <w:left w:val="none" w:sz="0" w:space="0" w:color="auto"/>
        <w:bottom w:val="none" w:sz="0" w:space="0" w:color="auto"/>
        <w:right w:val="none" w:sz="0" w:space="0" w:color="auto"/>
      </w:divBdr>
    </w:div>
    <w:div w:id="331419082">
      <w:bodyDiv w:val="1"/>
      <w:marLeft w:val="0"/>
      <w:marRight w:val="0"/>
      <w:marTop w:val="0"/>
      <w:marBottom w:val="0"/>
      <w:divBdr>
        <w:top w:val="none" w:sz="0" w:space="0" w:color="auto"/>
        <w:left w:val="none" w:sz="0" w:space="0" w:color="auto"/>
        <w:bottom w:val="none" w:sz="0" w:space="0" w:color="auto"/>
        <w:right w:val="none" w:sz="0" w:space="0" w:color="auto"/>
      </w:divBdr>
    </w:div>
    <w:div w:id="379793134">
      <w:bodyDiv w:val="1"/>
      <w:marLeft w:val="0"/>
      <w:marRight w:val="0"/>
      <w:marTop w:val="0"/>
      <w:marBottom w:val="0"/>
      <w:divBdr>
        <w:top w:val="none" w:sz="0" w:space="0" w:color="auto"/>
        <w:left w:val="none" w:sz="0" w:space="0" w:color="auto"/>
        <w:bottom w:val="none" w:sz="0" w:space="0" w:color="auto"/>
        <w:right w:val="none" w:sz="0" w:space="0" w:color="auto"/>
      </w:divBdr>
    </w:div>
    <w:div w:id="388921284">
      <w:bodyDiv w:val="1"/>
      <w:marLeft w:val="0"/>
      <w:marRight w:val="0"/>
      <w:marTop w:val="0"/>
      <w:marBottom w:val="0"/>
      <w:divBdr>
        <w:top w:val="none" w:sz="0" w:space="0" w:color="auto"/>
        <w:left w:val="none" w:sz="0" w:space="0" w:color="auto"/>
        <w:bottom w:val="none" w:sz="0" w:space="0" w:color="auto"/>
        <w:right w:val="none" w:sz="0" w:space="0" w:color="auto"/>
      </w:divBdr>
    </w:div>
    <w:div w:id="473722379">
      <w:bodyDiv w:val="1"/>
      <w:marLeft w:val="0"/>
      <w:marRight w:val="0"/>
      <w:marTop w:val="0"/>
      <w:marBottom w:val="0"/>
      <w:divBdr>
        <w:top w:val="none" w:sz="0" w:space="0" w:color="auto"/>
        <w:left w:val="none" w:sz="0" w:space="0" w:color="auto"/>
        <w:bottom w:val="none" w:sz="0" w:space="0" w:color="auto"/>
        <w:right w:val="none" w:sz="0" w:space="0" w:color="auto"/>
      </w:divBdr>
    </w:div>
    <w:div w:id="488250077">
      <w:bodyDiv w:val="1"/>
      <w:marLeft w:val="0"/>
      <w:marRight w:val="0"/>
      <w:marTop w:val="0"/>
      <w:marBottom w:val="0"/>
      <w:divBdr>
        <w:top w:val="none" w:sz="0" w:space="0" w:color="auto"/>
        <w:left w:val="none" w:sz="0" w:space="0" w:color="auto"/>
        <w:bottom w:val="none" w:sz="0" w:space="0" w:color="auto"/>
        <w:right w:val="none" w:sz="0" w:space="0" w:color="auto"/>
      </w:divBdr>
    </w:div>
    <w:div w:id="496504458">
      <w:bodyDiv w:val="1"/>
      <w:marLeft w:val="0"/>
      <w:marRight w:val="0"/>
      <w:marTop w:val="0"/>
      <w:marBottom w:val="0"/>
      <w:divBdr>
        <w:top w:val="none" w:sz="0" w:space="0" w:color="auto"/>
        <w:left w:val="none" w:sz="0" w:space="0" w:color="auto"/>
        <w:bottom w:val="none" w:sz="0" w:space="0" w:color="auto"/>
        <w:right w:val="none" w:sz="0" w:space="0" w:color="auto"/>
      </w:divBdr>
    </w:div>
    <w:div w:id="519197234">
      <w:bodyDiv w:val="1"/>
      <w:marLeft w:val="0"/>
      <w:marRight w:val="0"/>
      <w:marTop w:val="0"/>
      <w:marBottom w:val="0"/>
      <w:divBdr>
        <w:top w:val="none" w:sz="0" w:space="0" w:color="auto"/>
        <w:left w:val="none" w:sz="0" w:space="0" w:color="auto"/>
        <w:bottom w:val="none" w:sz="0" w:space="0" w:color="auto"/>
        <w:right w:val="none" w:sz="0" w:space="0" w:color="auto"/>
      </w:divBdr>
      <w:divsChild>
        <w:div w:id="1857425430">
          <w:marLeft w:val="0"/>
          <w:marRight w:val="0"/>
          <w:marTop w:val="0"/>
          <w:marBottom w:val="0"/>
          <w:divBdr>
            <w:top w:val="none" w:sz="0" w:space="0" w:color="auto"/>
            <w:left w:val="none" w:sz="0" w:space="0" w:color="auto"/>
            <w:bottom w:val="none" w:sz="0" w:space="0" w:color="auto"/>
            <w:right w:val="none" w:sz="0" w:space="0" w:color="auto"/>
          </w:divBdr>
          <w:divsChild>
            <w:div w:id="2008171150">
              <w:marLeft w:val="0"/>
              <w:marRight w:val="0"/>
              <w:marTop w:val="0"/>
              <w:marBottom w:val="0"/>
              <w:divBdr>
                <w:top w:val="none" w:sz="0" w:space="0" w:color="auto"/>
                <w:left w:val="none" w:sz="0" w:space="0" w:color="auto"/>
                <w:bottom w:val="none" w:sz="0" w:space="0" w:color="auto"/>
                <w:right w:val="none" w:sz="0" w:space="0" w:color="auto"/>
              </w:divBdr>
              <w:divsChild>
                <w:div w:id="215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3479">
          <w:marLeft w:val="0"/>
          <w:marRight w:val="0"/>
          <w:marTop w:val="0"/>
          <w:marBottom w:val="0"/>
          <w:divBdr>
            <w:top w:val="none" w:sz="0" w:space="0" w:color="auto"/>
            <w:left w:val="none" w:sz="0" w:space="0" w:color="auto"/>
            <w:bottom w:val="none" w:sz="0" w:space="0" w:color="auto"/>
            <w:right w:val="none" w:sz="0" w:space="0" w:color="auto"/>
          </w:divBdr>
        </w:div>
      </w:divsChild>
    </w:div>
    <w:div w:id="53138098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0534547">
      <w:bodyDiv w:val="1"/>
      <w:marLeft w:val="0"/>
      <w:marRight w:val="0"/>
      <w:marTop w:val="0"/>
      <w:marBottom w:val="0"/>
      <w:divBdr>
        <w:top w:val="none" w:sz="0" w:space="0" w:color="auto"/>
        <w:left w:val="none" w:sz="0" w:space="0" w:color="auto"/>
        <w:bottom w:val="none" w:sz="0" w:space="0" w:color="auto"/>
        <w:right w:val="none" w:sz="0" w:space="0" w:color="auto"/>
      </w:divBdr>
    </w:div>
    <w:div w:id="617027152">
      <w:bodyDiv w:val="1"/>
      <w:marLeft w:val="0"/>
      <w:marRight w:val="0"/>
      <w:marTop w:val="0"/>
      <w:marBottom w:val="0"/>
      <w:divBdr>
        <w:top w:val="none" w:sz="0" w:space="0" w:color="auto"/>
        <w:left w:val="none" w:sz="0" w:space="0" w:color="auto"/>
        <w:bottom w:val="none" w:sz="0" w:space="0" w:color="auto"/>
        <w:right w:val="none" w:sz="0" w:space="0" w:color="auto"/>
      </w:divBdr>
    </w:div>
    <w:div w:id="627391775">
      <w:bodyDiv w:val="1"/>
      <w:marLeft w:val="0"/>
      <w:marRight w:val="0"/>
      <w:marTop w:val="0"/>
      <w:marBottom w:val="0"/>
      <w:divBdr>
        <w:top w:val="none" w:sz="0" w:space="0" w:color="auto"/>
        <w:left w:val="none" w:sz="0" w:space="0" w:color="auto"/>
        <w:bottom w:val="none" w:sz="0" w:space="0" w:color="auto"/>
        <w:right w:val="none" w:sz="0" w:space="0" w:color="auto"/>
      </w:divBdr>
    </w:div>
    <w:div w:id="681321964">
      <w:bodyDiv w:val="1"/>
      <w:marLeft w:val="0"/>
      <w:marRight w:val="0"/>
      <w:marTop w:val="0"/>
      <w:marBottom w:val="0"/>
      <w:divBdr>
        <w:top w:val="none" w:sz="0" w:space="0" w:color="auto"/>
        <w:left w:val="none" w:sz="0" w:space="0" w:color="auto"/>
        <w:bottom w:val="none" w:sz="0" w:space="0" w:color="auto"/>
        <w:right w:val="none" w:sz="0" w:space="0" w:color="auto"/>
      </w:divBdr>
      <w:divsChild>
        <w:div w:id="435638041">
          <w:marLeft w:val="0"/>
          <w:marRight w:val="0"/>
          <w:marTop w:val="0"/>
          <w:marBottom w:val="0"/>
          <w:divBdr>
            <w:top w:val="none" w:sz="0" w:space="0" w:color="auto"/>
            <w:left w:val="none" w:sz="0" w:space="0" w:color="auto"/>
            <w:bottom w:val="none" w:sz="0" w:space="0" w:color="auto"/>
            <w:right w:val="none" w:sz="0" w:space="0" w:color="auto"/>
          </w:divBdr>
        </w:div>
        <w:div w:id="430593651">
          <w:marLeft w:val="0"/>
          <w:marRight w:val="0"/>
          <w:marTop w:val="0"/>
          <w:marBottom w:val="0"/>
          <w:divBdr>
            <w:top w:val="none" w:sz="0" w:space="0" w:color="auto"/>
            <w:left w:val="none" w:sz="0" w:space="0" w:color="auto"/>
            <w:bottom w:val="none" w:sz="0" w:space="0" w:color="auto"/>
            <w:right w:val="none" w:sz="0" w:space="0" w:color="auto"/>
          </w:divBdr>
        </w:div>
        <w:div w:id="501622364">
          <w:marLeft w:val="0"/>
          <w:marRight w:val="0"/>
          <w:marTop w:val="0"/>
          <w:marBottom w:val="0"/>
          <w:divBdr>
            <w:top w:val="none" w:sz="0" w:space="0" w:color="auto"/>
            <w:left w:val="none" w:sz="0" w:space="0" w:color="auto"/>
            <w:bottom w:val="none" w:sz="0" w:space="0" w:color="auto"/>
            <w:right w:val="none" w:sz="0" w:space="0" w:color="auto"/>
          </w:divBdr>
        </w:div>
      </w:divsChild>
    </w:div>
    <w:div w:id="741368567">
      <w:bodyDiv w:val="1"/>
      <w:marLeft w:val="0"/>
      <w:marRight w:val="0"/>
      <w:marTop w:val="0"/>
      <w:marBottom w:val="0"/>
      <w:divBdr>
        <w:top w:val="none" w:sz="0" w:space="0" w:color="auto"/>
        <w:left w:val="none" w:sz="0" w:space="0" w:color="auto"/>
        <w:bottom w:val="none" w:sz="0" w:space="0" w:color="auto"/>
        <w:right w:val="none" w:sz="0" w:space="0" w:color="auto"/>
      </w:divBdr>
    </w:div>
    <w:div w:id="816382128">
      <w:bodyDiv w:val="1"/>
      <w:marLeft w:val="0"/>
      <w:marRight w:val="0"/>
      <w:marTop w:val="0"/>
      <w:marBottom w:val="0"/>
      <w:divBdr>
        <w:top w:val="none" w:sz="0" w:space="0" w:color="auto"/>
        <w:left w:val="none" w:sz="0" w:space="0" w:color="auto"/>
        <w:bottom w:val="none" w:sz="0" w:space="0" w:color="auto"/>
        <w:right w:val="none" w:sz="0" w:space="0" w:color="auto"/>
      </w:divBdr>
    </w:div>
    <w:div w:id="818108902">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4921827">
      <w:bodyDiv w:val="1"/>
      <w:marLeft w:val="0"/>
      <w:marRight w:val="0"/>
      <w:marTop w:val="0"/>
      <w:marBottom w:val="0"/>
      <w:divBdr>
        <w:top w:val="none" w:sz="0" w:space="0" w:color="auto"/>
        <w:left w:val="none" w:sz="0" w:space="0" w:color="auto"/>
        <w:bottom w:val="none" w:sz="0" w:space="0" w:color="auto"/>
        <w:right w:val="none" w:sz="0" w:space="0" w:color="auto"/>
      </w:divBdr>
    </w:div>
    <w:div w:id="900217314">
      <w:bodyDiv w:val="1"/>
      <w:marLeft w:val="0"/>
      <w:marRight w:val="0"/>
      <w:marTop w:val="0"/>
      <w:marBottom w:val="0"/>
      <w:divBdr>
        <w:top w:val="none" w:sz="0" w:space="0" w:color="auto"/>
        <w:left w:val="none" w:sz="0" w:space="0" w:color="auto"/>
        <w:bottom w:val="none" w:sz="0" w:space="0" w:color="auto"/>
        <w:right w:val="none" w:sz="0" w:space="0" w:color="auto"/>
      </w:divBdr>
    </w:div>
    <w:div w:id="952059853">
      <w:bodyDiv w:val="1"/>
      <w:marLeft w:val="0"/>
      <w:marRight w:val="0"/>
      <w:marTop w:val="0"/>
      <w:marBottom w:val="0"/>
      <w:divBdr>
        <w:top w:val="none" w:sz="0" w:space="0" w:color="auto"/>
        <w:left w:val="none" w:sz="0" w:space="0" w:color="auto"/>
        <w:bottom w:val="none" w:sz="0" w:space="0" w:color="auto"/>
        <w:right w:val="none" w:sz="0" w:space="0" w:color="auto"/>
      </w:divBdr>
    </w:div>
    <w:div w:id="100559693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5253583">
      <w:bodyDiv w:val="1"/>
      <w:marLeft w:val="0"/>
      <w:marRight w:val="0"/>
      <w:marTop w:val="0"/>
      <w:marBottom w:val="0"/>
      <w:divBdr>
        <w:top w:val="none" w:sz="0" w:space="0" w:color="auto"/>
        <w:left w:val="none" w:sz="0" w:space="0" w:color="auto"/>
        <w:bottom w:val="none" w:sz="0" w:space="0" w:color="auto"/>
        <w:right w:val="none" w:sz="0" w:space="0" w:color="auto"/>
      </w:divBdr>
    </w:div>
    <w:div w:id="1075933893">
      <w:bodyDiv w:val="1"/>
      <w:marLeft w:val="0"/>
      <w:marRight w:val="0"/>
      <w:marTop w:val="0"/>
      <w:marBottom w:val="0"/>
      <w:divBdr>
        <w:top w:val="none" w:sz="0" w:space="0" w:color="auto"/>
        <w:left w:val="none" w:sz="0" w:space="0" w:color="auto"/>
        <w:bottom w:val="none" w:sz="0" w:space="0" w:color="auto"/>
        <w:right w:val="none" w:sz="0" w:space="0" w:color="auto"/>
      </w:divBdr>
    </w:div>
    <w:div w:id="1151944143">
      <w:bodyDiv w:val="1"/>
      <w:marLeft w:val="0"/>
      <w:marRight w:val="0"/>
      <w:marTop w:val="0"/>
      <w:marBottom w:val="0"/>
      <w:divBdr>
        <w:top w:val="none" w:sz="0" w:space="0" w:color="auto"/>
        <w:left w:val="none" w:sz="0" w:space="0" w:color="auto"/>
        <w:bottom w:val="none" w:sz="0" w:space="0" w:color="auto"/>
        <w:right w:val="none" w:sz="0" w:space="0" w:color="auto"/>
      </w:divBdr>
    </w:div>
    <w:div w:id="1179469646">
      <w:bodyDiv w:val="1"/>
      <w:marLeft w:val="0"/>
      <w:marRight w:val="0"/>
      <w:marTop w:val="0"/>
      <w:marBottom w:val="0"/>
      <w:divBdr>
        <w:top w:val="none" w:sz="0" w:space="0" w:color="auto"/>
        <w:left w:val="none" w:sz="0" w:space="0" w:color="auto"/>
        <w:bottom w:val="none" w:sz="0" w:space="0" w:color="auto"/>
        <w:right w:val="none" w:sz="0" w:space="0" w:color="auto"/>
      </w:divBdr>
    </w:div>
    <w:div w:id="1203589739">
      <w:bodyDiv w:val="1"/>
      <w:marLeft w:val="0"/>
      <w:marRight w:val="0"/>
      <w:marTop w:val="0"/>
      <w:marBottom w:val="0"/>
      <w:divBdr>
        <w:top w:val="none" w:sz="0" w:space="0" w:color="auto"/>
        <w:left w:val="none" w:sz="0" w:space="0" w:color="auto"/>
        <w:bottom w:val="none" w:sz="0" w:space="0" w:color="auto"/>
        <w:right w:val="none" w:sz="0" w:space="0" w:color="auto"/>
      </w:divBdr>
    </w:div>
    <w:div w:id="1256210491">
      <w:bodyDiv w:val="1"/>
      <w:marLeft w:val="0"/>
      <w:marRight w:val="0"/>
      <w:marTop w:val="0"/>
      <w:marBottom w:val="0"/>
      <w:divBdr>
        <w:top w:val="none" w:sz="0" w:space="0" w:color="auto"/>
        <w:left w:val="none" w:sz="0" w:space="0" w:color="auto"/>
        <w:bottom w:val="none" w:sz="0" w:space="0" w:color="auto"/>
        <w:right w:val="none" w:sz="0" w:space="0" w:color="auto"/>
      </w:divBdr>
    </w:div>
    <w:div w:id="1287928779">
      <w:bodyDiv w:val="1"/>
      <w:marLeft w:val="0"/>
      <w:marRight w:val="0"/>
      <w:marTop w:val="0"/>
      <w:marBottom w:val="0"/>
      <w:divBdr>
        <w:top w:val="none" w:sz="0" w:space="0" w:color="auto"/>
        <w:left w:val="none" w:sz="0" w:space="0" w:color="auto"/>
        <w:bottom w:val="none" w:sz="0" w:space="0" w:color="auto"/>
        <w:right w:val="none" w:sz="0" w:space="0" w:color="auto"/>
      </w:divBdr>
    </w:div>
    <w:div w:id="136879625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44961985">
      <w:bodyDiv w:val="1"/>
      <w:marLeft w:val="0"/>
      <w:marRight w:val="0"/>
      <w:marTop w:val="0"/>
      <w:marBottom w:val="0"/>
      <w:divBdr>
        <w:top w:val="none" w:sz="0" w:space="0" w:color="auto"/>
        <w:left w:val="none" w:sz="0" w:space="0" w:color="auto"/>
        <w:bottom w:val="none" w:sz="0" w:space="0" w:color="auto"/>
        <w:right w:val="none" w:sz="0" w:space="0" w:color="auto"/>
      </w:divBdr>
    </w:div>
    <w:div w:id="1483346128">
      <w:bodyDiv w:val="1"/>
      <w:marLeft w:val="0"/>
      <w:marRight w:val="0"/>
      <w:marTop w:val="0"/>
      <w:marBottom w:val="0"/>
      <w:divBdr>
        <w:top w:val="none" w:sz="0" w:space="0" w:color="auto"/>
        <w:left w:val="none" w:sz="0" w:space="0" w:color="auto"/>
        <w:bottom w:val="none" w:sz="0" w:space="0" w:color="auto"/>
        <w:right w:val="none" w:sz="0" w:space="0" w:color="auto"/>
      </w:divBdr>
    </w:div>
    <w:div w:id="1529876631">
      <w:bodyDiv w:val="1"/>
      <w:marLeft w:val="0"/>
      <w:marRight w:val="0"/>
      <w:marTop w:val="0"/>
      <w:marBottom w:val="0"/>
      <w:divBdr>
        <w:top w:val="none" w:sz="0" w:space="0" w:color="auto"/>
        <w:left w:val="none" w:sz="0" w:space="0" w:color="auto"/>
        <w:bottom w:val="none" w:sz="0" w:space="0" w:color="auto"/>
        <w:right w:val="none" w:sz="0" w:space="0" w:color="auto"/>
      </w:divBdr>
    </w:div>
    <w:div w:id="1542673056">
      <w:bodyDiv w:val="1"/>
      <w:marLeft w:val="0"/>
      <w:marRight w:val="0"/>
      <w:marTop w:val="0"/>
      <w:marBottom w:val="0"/>
      <w:divBdr>
        <w:top w:val="none" w:sz="0" w:space="0" w:color="auto"/>
        <w:left w:val="none" w:sz="0" w:space="0" w:color="auto"/>
        <w:bottom w:val="none" w:sz="0" w:space="0" w:color="auto"/>
        <w:right w:val="none" w:sz="0" w:space="0" w:color="auto"/>
      </w:divBdr>
    </w:div>
    <w:div w:id="1555197096">
      <w:bodyDiv w:val="1"/>
      <w:marLeft w:val="0"/>
      <w:marRight w:val="0"/>
      <w:marTop w:val="0"/>
      <w:marBottom w:val="0"/>
      <w:divBdr>
        <w:top w:val="none" w:sz="0" w:space="0" w:color="auto"/>
        <w:left w:val="none" w:sz="0" w:space="0" w:color="auto"/>
        <w:bottom w:val="none" w:sz="0" w:space="0" w:color="auto"/>
        <w:right w:val="none" w:sz="0" w:space="0" w:color="auto"/>
      </w:divBdr>
    </w:div>
    <w:div w:id="1594121470">
      <w:bodyDiv w:val="1"/>
      <w:marLeft w:val="0"/>
      <w:marRight w:val="0"/>
      <w:marTop w:val="0"/>
      <w:marBottom w:val="0"/>
      <w:divBdr>
        <w:top w:val="none" w:sz="0" w:space="0" w:color="auto"/>
        <w:left w:val="none" w:sz="0" w:space="0" w:color="auto"/>
        <w:bottom w:val="none" w:sz="0" w:space="0" w:color="auto"/>
        <w:right w:val="none" w:sz="0" w:space="0" w:color="auto"/>
      </w:divBdr>
    </w:div>
    <w:div w:id="1636521618">
      <w:bodyDiv w:val="1"/>
      <w:marLeft w:val="0"/>
      <w:marRight w:val="0"/>
      <w:marTop w:val="0"/>
      <w:marBottom w:val="0"/>
      <w:divBdr>
        <w:top w:val="none" w:sz="0" w:space="0" w:color="auto"/>
        <w:left w:val="none" w:sz="0" w:space="0" w:color="auto"/>
        <w:bottom w:val="none" w:sz="0" w:space="0" w:color="auto"/>
        <w:right w:val="none" w:sz="0" w:space="0" w:color="auto"/>
      </w:divBdr>
    </w:div>
    <w:div w:id="1638073328">
      <w:bodyDiv w:val="1"/>
      <w:marLeft w:val="0"/>
      <w:marRight w:val="0"/>
      <w:marTop w:val="0"/>
      <w:marBottom w:val="0"/>
      <w:divBdr>
        <w:top w:val="none" w:sz="0" w:space="0" w:color="auto"/>
        <w:left w:val="none" w:sz="0" w:space="0" w:color="auto"/>
        <w:bottom w:val="none" w:sz="0" w:space="0" w:color="auto"/>
        <w:right w:val="none" w:sz="0" w:space="0" w:color="auto"/>
      </w:divBdr>
    </w:div>
    <w:div w:id="1693143639">
      <w:bodyDiv w:val="1"/>
      <w:marLeft w:val="0"/>
      <w:marRight w:val="0"/>
      <w:marTop w:val="0"/>
      <w:marBottom w:val="0"/>
      <w:divBdr>
        <w:top w:val="none" w:sz="0" w:space="0" w:color="auto"/>
        <w:left w:val="none" w:sz="0" w:space="0" w:color="auto"/>
        <w:bottom w:val="none" w:sz="0" w:space="0" w:color="auto"/>
        <w:right w:val="none" w:sz="0" w:space="0" w:color="auto"/>
      </w:divBdr>
    </w:div>
    <w:div w:id="1721593819">
      <w:bodyDiv w:val="1"/>
      <w:marLeft w:val="0"/>
      <w:marRight w:val="0"/>
      <w:marTop w:val="0"/>
      <w:marBottom w:val="0"/>
      <w:divBdr>
        <w:top w:val="none" w:sz="0" w:space="0" w:color="auto"/>
        <w:left w:val="none" w:sz="0" w:space="0" w:color="auto"/>
        <w:bottom w:val="none" w:sz="0" w:space="0" w:color="auto"/>
        <w:right w:val="none" w:sz="0" w:space="0" w:color="auto"/>
      </w:divBdr>
    </w:div>
    <w:div w:id="1746148607">
      <w:bodyDiv w:val="1"/>
      <w:marLeft w:val="0"/>
      <w:marRight w:val="0"/>
      <w:marTop w:val="0"/>
      <w:marBottom w:val="0"/>
      <w:divBdr>
        <w:top w:val="none" w:sz="0" w:space="0" w:color="auto"/>
        <w:left w:val="none" w:sz="0" w:space="0" w:color="auto"/>
        <w:bottom w:val="none" w:sz="0" w:space="0" w:color="auto"/>
        <w:right w:val="none" w:sz="0" w:space="0" w:color="auto"/>
      </w:divBdr>
    </w:div>
    <w:div w:id="1790660409">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64123194">
      <w:bodyDiv w:val="1"/>
      <w:marLeft w:val="0"/>
      <w:marRight w:val="0"/>
      <w:marTop w:val="0"/>
      <w:marBottom w:val="0"/>
      <w:divBdr>
        <w:top w:val="none" w:sz="0" w:space="0" w:color="auto"/>
        <w:left w:val="none" w:sz="0" w:space="0" w:color="auto"/>
        <w:bottom w:val="none" w:sz="0" w:space="0" w:color="auto"/>
        <w:right w:val="none" w:sz="0" w:space="0" w:color="auto"/>
      </w:divBdr>
    </w:div>
    <w:div w:id="1894196503">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08566817">
      <w:bodyDiv w:val="1"/>
      <w:marLeft w:val="0"/>
      <w:marRight w:val="0"/>
      <w:marTop w:val="0"/>
      <w:marBottom w:val="0"/>
      <w:divBdr>
        <w:top w:val="none" w:sz="0" w:space="0" w:color="auto"/>
        <w:left w:val="none" w:sz="0" w:space="0" w:color="auto"/>
        <w:bottom w:val="none" w:sz="0" w:space="0" w:color="auto"/>
        <w:right w:val="none" w:sz="0" w:space="0" w:color="auto"/>
      </w:divBdr>
    </w:div>
    <w:div w:id="1933656814">
      <w:bodyDiv w:val="1"/>
      <w:marLeft w:val="0"/>
      <w:marRight w:val="0"/>
      <w:marTop w:val="0"/>
      <w:marBottom w:val="0"/>
      <w:divBdr>
        <w:top w:val="none" w:sz="0" w:space="0" w:color="auto"/>
        <w:left w:val="none" w:sz="0" w:space="0" w:color="auto"/>
        <w:bottom w:val="none" w:sz="0" w:space="0" w:color="auto"/>
        <w:right w:val="none" w:sz="0" w:space="0" w:color="auto"/>
      </w:divBdr>
    </w:div>
    <w:div w:id="1936592854">
      <w:bodyDiv w:val="1"/>
      <w:marLeft w:val="0"/>
      <w:marRight w:val="0"/>
      <w:marTop w:val="0"/>
      <w:marBottom w:val="0"/>
      <w:divBdr>
        <w:top w:val="none" w:sz="0" w:space="0" w:color="auto"/>
        <w:left w:val="none" w:sz="0" w:space="0" w:color="auto"/>
        <w:bottom w:val="none" w:sz="0" w:space="0" w:color="auto"/>
        <w:right w:val="none" w:sz="0" w:space="0" w:color="auto"/>
      </w:divBdr>
      <w:divsChild>
        <w:div w:id="102307338">
          <w:marLeft w:val="446"/>
          <w:marRight w:val="0"/>
          <w:marTop w:val="120"/>
          <w:marBottom w:val="120"/>
          <w:divBdr>
            <w:top w:val="none" w:sz="0" w:space="0" w:color="auto"/>
            <w:left w:val="none" w:sz="0" w:space="0" w:color="auto"/>
            <w:bottom w:val="none" w:sz="0" w:space="0" w:color="auto"/>
            <w:right w:val="none" w:sz="0" w:space="0" w:color="auto"/>
          </w:divBdr>
        </w:div>
        <w:div w:id="2036150482">
          <w:marLeft w:val="547"/>
          <w:marRight w:val="0"/>
          <w:marTop w:val="120"/>
          <w:marBottom w:val="120"/>
          <w:divBdr>
            <w:top w:val="none" w:sz="0" w:space="0" w:color="auto"/>
            <w:left w:val="none" w:sz="0" w:space="0" w:color="auto"/>
            <w:bottom w:val="none" w:sz="0" w:space="0" w:color="auto"/>
            <w:right w:val="none" w:sz="0" w:space="0" w:color="auto"/>
          </w:divBdr>
        </w:div>
        <w:div w:id="184830453">
          <w:marLeft w:val="547"/>
          <w:marRight w:val="0"/>
          <w:marTop w:val="120"/>
          <w:marBottom w:val="120"/>
          <w:divBdr>
            <w:top w:val="none" w:sz="0" w:space="0" w:color="auto"/>
            <w:left w:val="none" w:sz="0" w:space="0" w:color="auto"/>
            <w:bottom w:val="none" w:sz="0" w:space="0" w:color="auto"/>
            <w:right w:val="none" w:sz="0" w:space="0" w:color="auto"/>
          </w:divBdr>
        </w:div>
        <w:div w:id="1991516054">
          <w:marLeft w:val="547"/>
          <w:marRight w:val="0"/>
          <w:marTop w:val="120"/>
          <w:marBottom w:val="120"/>
          <w:divBdr>
            <w:top w:val="none" w:sz="0" w:space="0" w:color="auto"/>
            <w:left w:val="none" w:sz="0" w:space="0" w:color="auto"/>
            <w:bottom w:val="none" w:sz="0" w:space="0" w:color="auto"/>
            <w:right w:val="none" w:sz="0" w:space="0" w:color="auto"/>
          </w:divBdr>
        </w:div>
        <w:div w:id="904030063">
          <w:marLeft w:val="446"/>
          <w:marRight w:val="0"/>
          <w:marTop w:val="120"/>
          <w:marBottom w:val="120"/>
          <w:divBdr>
            <w:top w:val="none" w:sz="0" w:space="0" w:color="auto"/>
            <w:left w:val="none" w:sz="0" w:space="0" w:color="auto"/>
            <w:bottom w:val="none" w:sz="0" w:space="0" w:color="auto"/>
            <w:right w:val="none" w:sz="0" w:space="0" w:color="auto"/>
          </w:divBdr>
        </w:div>
        <w:div w:id="1204295788">
          <w:marLeft w:val="547"/>
          <w:marRight w:val="0"/>
          <w:marTop w:val="120"/>
          <w:marBottom w:val="120"/>
          <w:divBdr>
            <w:top w:val="none" w:sz="0" w:space="0" w:color="auto"/>
            <w:left w:val="none" w:sz="0" w:space="0" w:color="auto"/>
            <w:bottom w:val="none" w:sz="0" w:space="0" w:color="auto"/>
            <w:right w:val="none" w:sz="0" w:space="0" w:color="auto"/>
          </w:divBdr>
        </w:div>
        <w:div w:id="1022048910">
          <w:marLeft w:val="547"/>
          <w:marRight w:val="0"/>
          <w:marTop w:val="120"/>
          <w:marBottom w:val="120"/>
          <w:divBdr>
            <w:top w:val="none" w:sz="0" w:space="0" w:color="auto"/>
            <w:left w:val="none" w:sz="0" w:space="0" w:color="auto"/>
            <w:bottom w:val="none" w:sz="0" w:space="0" w:color="auto"/>
            <w:right w:val="none" w:sz="0" w:space="0" w:color="auto"/>
          </w:divBdr>
        </w:div>
      </w:divsChild>
    </w:div>
    <w:div w:id="1996520633">
      <w:bodyDiv w:val="1"/>
      <w:marLeft w:val="0"/>
      <w:marRight w:val="0"/>
      <w:marTop w:val="0"/>
      <w:marBottom w:val="0"/>
      <w:divBdr>
        <w:top w:val="none" w:sz="0" w:space="0" w:color="auto"/>
        <w:left w:val="none" w:sz="0" w:space="0" w:color="auto"/>
        <w:bottom w:val="none" w:sz="0" w:space="0" w:color="auto"/>
        <w:right w:val="none" w:sz="0" w:space="0" w:color="auto"/>
      </w:divBdr>
    </w:div>
    <w:div w:id="2053916138">
      <w:bodyDiv w:val="1"/>
      <w:marLeft w:val="0"/>
      <w:marRight w:val="0"/>
      <w:marTop w:val="0"/>
      <w:marBottom w:val="0"/>
      <w:divBdr>
        <w:top w:val="none" w:sz="0" w:space="0" w:color="auto"/>
        <w:left w:val="none" w:sz="0" w:space="0" w:color="auto"/>
        <w:bottom w:val="none" w:sz="0" w:space="0" w:color="auto"/>
        <w:right w:val="none" w:sz="0" w:space="0" w:color="auto"/>
      </w:divBdr>
    </w:div>
    <w:div w:id="2078504658">
      <w:bodyDiv w:val="1"/>
      <w:marLeft w:val="0"/>
      <w:marRight w:val="0"/>
      <w:marTop w:val="0"/>
      <w:marBottom w:val="0"/>
      <w:divBdr>
        <w:top w:val="none" w:sz="0" w:space="0" w:color="auto"/>
        <w:left w:val="none" w:sz="0" w:space="0" w:color="auto"/>
        <w:bottom w:val="none" w:sz="0" w:space="0" w:color="auto"/>
        <w:right w:val="none" w:sz="0" w:space="0" w:color="auto"/>
      </w:divBdr>
    </w:div>
    <w:div w:id="2101759301">
      <w:bodyDiv w:val="1"/>
      <w:marLeft w:val="0"/>
      <w:marRight w:val="0"/>
      <w:marTop w:val="0"/>
      <w:marBottom w:val="0"/>
      <w:divBdr>
        <w:top w:val="none" w:sz="0" w:space="0" w:color="auto"/>
        <w:left w:val="none" w:sz="0" w:space="0" w:color="auto"/>
        <w:bottom w:val="none" w:sz="0" w:space="0" w:color="auto"/>
        <w:right w:val="none" w:sz="0" w:space="0" w:color="auto"/>
      </w:divBdr>
    </w:div>
    <w:div w:id="21454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Sprzaczak@klimat.gov.pl" TargetMode="External"/><Relationship Id="rId13" Type="http://schemas.openxmlformats.org/officeDocument/2006/relationships/hyperlink" Target="https://www.gov.pl/web/klimat/krajowy-plan-na-rzecz-energii-i-klimatu" TargetMode="External"/><Relationship Id="rId18" Type="http://schemas.openxmlformats.org/officeDocument/2006/relationships/hyperlink" Target="https://bip.mos.gov.pl/strategie-plany-programy/krajowy-plan-gospodarki-odpadami/sprawozdania-z-realizacji-krajowego-planu-gospodarki-odpadami/" TargetMode="External"/><Relationship Id="rId26" Type="http://schemas.openxmlformats.org/officeDocument/2006/relationships/hyperlink" Target="https://www.ure.gov.pl/pl/oze/stawki-oplaty-oze/7857,Wysokosci-stawki-oplaty-OZE-na-dany-rok-kalendarzowy.html" TargetMode="External"/><Relationship Id="rId3" Type="http://schemas.openxmlformats.org/officeDocument/2006/relationships/styles" Target="styles.xml"/><Relationship Id="rId21" Type="http://schemas.openxmlformats.org/officeDocument/2006/relationships/hyperlink" Target="https://www.irena.org/publications/2020/Sep/Renewable-Energy-and-Jobs-Annual-Review-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nergy/topics/renewable-energy_en" TargetMode="External"/><Relationship Id="rId17" Type="http://schemas.openxmlformats.org/officeDocument/2006/relationships/hyperlink" Target="https://cng-lng.pl/wiadomosci/W-2019-r.-w-UE-przybylo-blisko-90-tys.-pojazdow-CNG-i-LNG,wiadomosc,9895.html" TargetMode="External"/><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fo.eu" TargetMode="External"/><Relationship Id="rId20" Type="http://schemas.openxmlformats.org/officeDocument/2006/relationships/hyperlink" Target="https://bip.ure.gov.p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z.zdzieszynski@klimat.gov.pl" TargetMode="External"/><Relationship Id="rId24" Type="http://schemas.openxmlformats.org/officeDocument/2006/relationships/image" Target="media/image4.jpeg"/><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candinavianbiogas.com/en/about-biogas/" TargetMode="External"/><Relationship Id="rId23" Type="http://schemas.openxmlformats.org/officeDocument/2006/relationships/image" Target="media/image3.png"/><Relationship Id="rId28" Type="http://schemas.openxmlformats.org/officeDocument/2006/relationships/image" Target="media/image6.emf"/><Relationship Id="rId10" Type="http://schemas.openxmlformats.org/officeDocument/2006/relationships/hyperlink" Target="mailto:michal.leski@klimat.gov.pl" TargetMode="External"/><Relationship Id="rId19" Type="http://schemas.openxmlformats.org/officeDocument/2006/relationships/hyperlink" Target="https://bip.ure.gov.pl"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Piotr.Czopek@klimat.gov.pl" TargetMode="External"/><Relationship Id="rId14" Type="http://schemas.openxmlformats.org/officeDocument/2006/relationships/hyperlink" Target="https://www.eafo.eu/countries/italy/1739/summary" TargetMode="Externa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uokik.gov.pl/aktualnosci.php?news_id=157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pl-PL" sz="1400">
                <a:latin typeface="Times New Roman" panose="02020603050405020304" pitchFamily="18" charset="0"/>
                <a:cs typeface="Times New Roman" panose="02020603050405020304" pitchFamily="18" charset="0"/>
              </a:rPr>
              <a:t>Struktura odpadów komunalnych w Polsce</a:t>
            </a:r>
          </a:p>
        </c:rich>
      </c:tx>
      <c:layout>
        <c:manualLayout>
          <c:xMode val="edge"/>
          <c:yMode val="edge"/>
          <c:x val="0.17645068164782887"/>
          <c:y val="0"/>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07468953628075"/>
          <c:y val="0.1365935709649197"/>
          <c:w val="0.84600049993750781"/>
          <c:h val="0.66995961400901238"/>
        </c:manualLayout>
      </c:layout>
      <c:bar3DChart>
        <c:barDir val="col"/>
        <c:grouping val="stacked"/>
        <c:varyColors val="0"/>
        <c:ser>
          <c:idx val="0"/>
          <c:order val="0"/>
          <c:tx>
            <c:strRef>
              <c:f>[Odpady.xlsx]Arkusz1!$A$4</c:f>
              <c:strCache>
                <c:ptCount val="1"/>
                <c:pt idx="0">
                  <c:v>komunalne zmieszane</c:v>
                </c:pt>
              </c:strCache>
            </c:strRef>
          </c:tx>
          <c:spPr>
            <a:solidFill>
              <a:schemeClr val="accent1"/>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[Odpady.xlsx]Arkusz1!$B$4:$I$4</c:f>
              <c:numCache>
                <c:formatCode>0.00</c:formatCode>
                <c:ptCount val="8"/>
                <c:pt idx="0">
                  <c:v>8575.4331099999999</c:v>
                </c:pt>
                <c:pt idx="1">
                  <c:v>8198.7821800000002</c:v>
                </c:pt>
                <c:pt idx="2">
                  <c:v>8281.2060499999989</c:v>
                </c:pt>
                <c:pt idx="3">
                  <c:v>8326.0697</c:v>
                </c:pt>
                <c:pt idx="4">
                  <c:v>8712.0879000000004</c:v>
                </c:pt>
                <c:pt idx="5">
                  <c:v>8729.2816999999995</c:v>
                </c:pt>
                <c:pt idx="6">
                  <c:v>8877.4687300000005</c:v>
                </c:pt>
                <c:pt idx="7">
                  <c:v>8775.3461900000002</c:v>
                </c:pt>
              </c:numCache>
            </c:numRef>
          </c:val>
          <c:extLst>
            <c:ext xmlns:c16="http://schemas.microsoft.com/office/drawing/2014/chart" uri="{C3380CC4-5D6E-409C-BE32-E72D297353CC}">
              <c16:uniqueId val="{00000000-6120-41FF-AC1F-17DF20A28630}"/>
            </c:ext>
          </c:extLst>
        </c:ser>
        <c:ser>
          <c:idx val="1"/>
          <c:order val="1"/>
          <c:tx>
            <c:strRef>
              <c:f>[Odpady.xlsx]Arkusz1!$A$6</c:f>
              <c:strCache>
                <c:ptCount val="1"/>
                <c:pt idx="0">
                  <c:v>selektywne bez bio</c:v>
                </c:pt>
              </c:strCache>
            </c:strRef>
          </c:tx>
          <c:spPr>
            <a:solidFill>
              <a:schemeClr val="accent2"/>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[Odpady.xlsx]Arkusz1!$B$6:$I$6</c:f>
              <c:numCache>
                <c:formatCode>0.00</c:formatCode>
                <c:ptCount val="8"/>
                <c:pt idx="0">
                  <c:v>803.80459999999994</c:v>
                </c:pt>
                <c:pt idx="1">
                  <c:v>963.26160000000004</c:v>
                </c:pt>
                <c:pt idx="2">
                  <c:v>1465.5333999999998</c:v>
                </c:pt>
                <c:pt idx="3">
                  <c:v>1880.3791999999999</c:v>
                </c:pt>
                <c:pt idx="4">
                  <c:v>2119.3928999999998</c:v>
                </c:pt>
                <c:pt idx="5">
                  <c:v>2344.04043</c:v>
                </c:pt>
                <c:pt idx="6">
                  <c:v>2592.57843</c:v>
                </c:pt>
                <c:pt idx="7">
                  <c:v>2781.0589799999998</c:v>
                </c:pt>
              </c:numCache>
            </c:numRef>
          </c:val>
          <c:extLst>
            <c:ext xmlns:c16="http://schemas.microsoft.com/office/drawing/2014/chart" uri="{C3380CC4-5D6E-409C-BE32-E72D297353CC}">
              <c16:uniqueId val="{00000001-6120-41FF-AC1F-17DF20A28630}"/>
            </c:ext>
          </c:extLst>
        </c:ser>
        <c:ser>
          <c:idx val="2"/>
          <c:order val="2"/>
          <c:tx>
            <c:strRef>
              <c:f>[Odpady.xlsx]Arkusz1!$A$7</c:f>
              <c:strCache>
                <c:ptCount val="1"/>
                <c:pt idx="0">
                  <c:v>biodegradowalne</c:v>
                </c:pt>
              </c:strCache>
            </c:strRef>
          </c:tx>
          <c:spPr>
            <a:solidFill>
              <a:schemeClr val="accent3"/>
            </a:solidFill>
            <a:ln>
              <a:noFill/>
            </a:ln>
            <a:effectLst/>
            <a:sp3d/>
          </c:spPr>
          <c:invertIfNegative val="0"/>
          <c:cat>
            <c:numRef>
              <c:f>[Odpady.xlsx]Arkusz1!$B$2:$I$2</c:f>
              <c:numCache>
                <c:formatCode>General</c:formatCode>
                <c:ptCount val="8"/>
                <c:pt idx="0">
                  <c:v>2012</c:v>
                </c:pt>
                <c:pt idx="1">
                  <c:v>2013</c:v>
                </c:pt>
                <c:pt idx="2">
                  <c:v>2014</c:v>
                </c:pt>
                <c:pt idx="3">
                  <c:v>2015</c:v>
                </c:pt>
                <c:pt idx="4">
                  <c:v>2016</c:v>
                </c:pt>
                <c:pt idx="5">
                  <c:v>2017</c:v>
                </c:pt>
                <c:pt idx="6">
                  <c:v>2018</c:v>
                </c:pt>
                <c:pt idx="7">
                  <c:v>2019</c:v>
                </c:pt>
              </c:numCache>
            </c:numRef>
          </c:cat>
          <c:val>
            <c:numRef>
              <c:f>[Odpady.xlsx]Arkusz1!$B$7:$I$7</c:f>
              <c:numCache>
                <c:formatCode>0.00</c:formatCode>
                <c:ptCount val="8"/>
                <c:pt idx="0">
                  <c:v>201.6294</c:v>
                </c:pt>
                <c:pt idx="1">
                  <c:v>311.78719999999998</c:v>
                </c:pt>
                <c:pt idx="2">
                  <c:v>583.66999999999996</c:v>
                </c:pt>
                <c:pt idx="3">
                  <c:v>657.04750000000001</c:v>
                </c:pt>
                <c:pt idx="4">
                  <c:v>822.86400000000003</c:v>
                </c:pt>
                <c:pt idx="5">
                  <c:v>895.39482999999996</c:v>
                </c:pt>
                <c:pt idx="6">
                  <c:v>1015.37767</c:v>
                </c:pt>
                <c:pt idx="7">
                  <c:v>1196.373</c:v>
                </c:pt>
              </c:numCache>
            </c:numRef>
          </c:val>
          <c:extLst>
            <c:ext xmlns:c16="http://schemas.microsoft.com/office/drawing/2014/chart" uri="{C3380CC4-5D6E-409C-BE32-E72D297353CC}">
              <c16:uniqueId val="{00000002-6120-41FF-AC1F-17DF20A28630}"/>
            </c:ext>
          </c:extLst>
        </c:ser>
        <c:dLbls>
          <c:showLegendKey val="0"/>
          <c:showVal val="0"/>
          <c:showCatName val="0"/>
          <c:showSerName val="0"/>
          <c:showPercent val="0"/>
          <c:showBubbleSize val="0"/>
        </c:dLbls>
        <c:gapWidth val="150"/>
        <c:shape val="box"/>
        <c:axId val="391382656"/>
        <c:axId val="391381088"/>
        <c:axId val="0"/>
      </c:bar3DChart>
      <c:catAx>
        <c:axId val="3913826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latin typeface="Times New Roman" panose="02020603050405020304" pitchFamily="18" charset="0"/>
                    <a:cs typeface="Times New Roman" panose="02020603050405020304" pitchFamily="18" charset="0"/>
                  </a:rPr>
                  <a:t>Źródło: GUS.</a:t>
                </a:r>
              </a:p>
            </c:rich>
          </c:tx>
          <c:layout>
            <c:manualLayout>
              <c:xMode val="edge"/>
              <c:yMode val="edge"/>
              <c:x val="8.8366093602602858E-4"/>
              <c:y val="0.9414661438925072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391381088"/>
        <c:crosses val="autoZero"/>
        <c:auto val="1"/>
        <c:lblAlgn val="ctr"/>
        <c:lblOffset val="100"/>
        <c:noMultiLvlLbl val="0"/>
      </c:catAx>
      <c:valAx>
        <c:axId val="391381088"/>
        <c:scaling>
          <c:orientation val="minMax"/>
          <c:max val="130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latin typeface="Times New Roman" panose="02020603050405020304" pitchFamily="18" charset="0"/>
                    <a:cs typeface="Times New Roman" panose="02020603050405020304" pitchFamily="18" charset="0"/>
                  </a:rPr>
                  <a:t>Odpady w tyś. ton</a:t>
                </a:r>
              </a:p>
            </c:rich>
          </c:tx>
          <c:layout>
            <c:manualLayout>
              <c:xMode val="edge"/>
              <c:yMode val="edge"/>
              <c:x val="2.3942436036211774E-2"/>
              <c:y val="0.283172675164483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91382656"/>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pl-PL" sz="1100" b="1"/>
              <a:t>Korzyści wynikajace z zagwarantowania minimalnej stopy zwrotu z kapitału na poziomie 7% w zakresie budowy, modernizacji i przyłączania źródeł ciepła OZE oraz źródeł ciepła odpadowego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'[Kopia pliku Kopia pliku Analiza obciążeń 2022 - zwrot z kapitału-1 ver. 1(1).xlsx]Wykres'!$B$2:$B$3</c:f>
              <c:strCache>
                <c:ptCount val="2"/>
                <c:pt idx="0">
                  <c:v>Zmniejszenie emisji dwutlenku węgla o udział równy zwiększeniu udziału OZE w ciepłownictwie r/r </c:v>
                </c:pt>
                <c:pt idx="1">
                  <c:v>[Mg]</c:v>
                </c:pt>
              </c:strCache>
            </c:strRef>
          </c:tx>
          <c:spPr>
            <a:solidFill>
              <a:schemeClr val="accent6"/>
            </a:solidFill>
            <a:ln>
              <a:noFill/>
            </a:ln>
            <a:effectLst/>
          </c:spPr>
          <c:invertIfNegative val="0"/>
          <c:cat>
            <c:strRef>
              <c:f>'[Kopia pliku Kopia pliku Analiza obciążeń 2022 - zwrot z kapitału-1 ver. 1(1).xlsx]Wykres'!$A$4:$A$13</c:f>
              <c:strCache>
                <c:ptCount val="10"/>
                <c:pt idx="0">
                  <c:v>Rok I</c:v>
                </c:pt>
                <c:pt idx="1">
                  <c:v>Rok II</c:v>
                </c:pt>
                <c:pt idx="2">
                  <c:v>Rok III</c:v>
                </c:pt>
                <c:pt idx="3">
                  <c:v>Rok IV</c:v>
                </c:pt>
                <c:pt idx="4">
                  <c:v>Rok V</c:v>
                </c:pt>
                <c:pt idx="5">
                  <c:v>Rok VI</c:v>
                </c:pt>
                <c:pt idx="6">
                  <c:v>Rok VII</c:v>
                </c:pt>
                <c:pt idx="7">
                  <c:v>Rok VIII</c:v>
                </c:pt>
                <c:pt idx="8">
                  <c:v>Rok IX</c:v>
                </c:pt>
                <c:pt idx="9">
                  <c:v>Rok X</c:v>
                </c:pt>
              </c:strCache>
            </c:strRef>
          </c:cat>
          <c:val>
            <c:numRef>
              <c:f>'[Kopia pliku Kopia pliku Analiza obciążeń 2022 - zwrot z kapitału-1 ver. 1(1).xlsx]Wykres'!$B$4:$B$13</c:f>
              <c:numCache>
                <c:formatCode>#,##0</c:formatCode>
                <c:ptCount val="10"/>
                <c:pt idx="0">
                  <c:v>352957.60700000002</c:v>
                </c:pt>
                <c:pt idx="1">
                  <c:v>349428.03093000001</c:v>
                </c:pt>
                <c:pt idx="2">
                  <c:v>345933.75062070007</c:v>
                </c:pt>
                <c:pt idx="3">
                  <c:v>342474.41311449307</c:v>
                </c:pt>
                <c:pt idx="4">
                  <c:v>339049.66898334812</c:v>
                </c:pt>
                <c:pt idx="5">
                  <c:v>335659.1722935146</c:v>
                </c:pt>
                <c:pt idx="6">
                  <c:v>332302.58057057945</c:v>
                </c:pt>
                <c:pt idx="7">
                  <c:v>328979.5547648737</c:v>
                </c:pt>
                <c:pt idx="8">
                  <c:v>325689.75921722496</c:v>
                </c:pt>
                <c:pt idx="9">
                  <c:v>322432.8616250527</c:v>
                </c:pt>
              </c:numCache>
            </c:numRef>
          </c:val>
          <c:extLst>
            <c:ext xmlns:c16="http://schemas.microsoft.com/office/drawing/2014/chart" uri="{C3380CC4-5D6E-409C-BE32-E72D297353CC}">
              <c16:uniqueId val="{00000000-6FC2-42C6-8E76-4C6D82B4BFC9}"/>
            </c:ext>
          </c:extLst>
        </c:ser>
        <c:dLbls>
          <c:showLegendKey val="0"/>
          <c:showVal val="0"/>
          <c:showCatName val="0"/>
          <c:showSerName val="0"/>
          <c:showPercent val="0"/>
          <c:showBubbleSize val="0"/>
        </c:dLbls>
        <c:gapWidth val="219"/>
        <c:axId val="391380304"/>
        <c:axId val="391381872"/>
      </c:barChart>
      <c:lineChart>
        <c:grouping val="standard"/>
        <c:varyColors val="0"/>
        <c:ser>
          <c:idx val="1"/>
          <c:order val="1"/>
          <c:tx>
            <c:strRef>
              <c:f>'[Kopia pliku Kopia pliku Analiza obciążeń 2022 - zwrot z kapitału-1 ver. 1(1).xlsx]Wykres'!$C$2:$C$3</c:f>
              <c:strCache>
                <c:ptCount val="2"/>
                <c:pt idx="0">
                  <c:v>Kwota zmniejszająca obciażenie odbiorców przy aktualnej cenie notowań uprawnień do emisji  i kursie Euro</c:v>
                </c:pt>
                <c:pt idx="1">
                  <c:v>[tys. zł]</c:v>
                </c:pt>
              </c:strCache>
            </c:strRef>
          </c:tx>
          <c:spPr>
            <a:ln w="38100" cap="rnd">
              <a:solidFill>
                <a:srgbClr val="FF0000"/>
              </a:solidFill>
              <a:round/>
            </a:ln>
            <a:effectLst/>
          </c:spPr>
          <c:marker>
            <c:symbol val="none"/>
          </c:marker>
          <c:cat>
            <c:strRef>
              <c:f>'[Kopia pliku Kopia pliku Analiza obciążeń 2022 - zwrot z kapitału-1 ver. 1(1).xlsx]Wykres'!$A$4:$A$13</c:f>
              <c:strCache>
                <c:ptCount val="10"/>
                <c:pt idx="0">
                  <c:v>Rok I</c:v>
                </c:pt>
                <c:pt idx="1">
                  <c:v>Rok II</c:v>
                </c:pt>
                <c:pt idx="2">
                  <c:v>Rok III</c:v>
                </c:pt>
                <c:pt idx="3">
                  <c:v>Rok IV</c:v>
                </c:pt>
                <c:pt idx="4">
                  <c:v>Rok V</c:v>
                </c:pt>
                <c:pt idx="5">
                  <c:v>Rok VI</c:v>
                </c:pt>
                <c:pt idx="6">
                  <c:v>Rok VII</c:v>
                </c:pt>
                <c:pt idx="7">
                  <c:v>Rok VIII</c:v>
                </c:pt>
                <c:pt idx="8">
                  <c:v>Rok IX</c:v>
                </c:pt>
                <c:pt idx="9">
                  <c:v>Rok X</c:v>
                </c:pt>
              </c:strCache>
            </c:strRef>
          </c:cat>
          <c:val>
            <c:numRef>
              <c:f>'[Kopia pliku Kopia pliku Analiza obciążeń 2022 - zwrot z kapitału-1 ver. 1(1).xlsx]Wykres'!$C$4:$C$13</c:f>
              <c:numCache>
                <c:formatCode>#,##0</c:formatCode>
                <c:ptCount val="10"/>
                <c:pt idx="0">
                  <c:v>135006.28467750002</c:v>
                </c:pt>
                <c:pt idx="1">
                  <c:v>133656.221830725</c:v>
                </c:pt>
                <c:pt idx="2">
                  <c:v>132319.65961241777</c:v>
                </c:pt>
                <c:pt idx="3">
                  <c:v>130996.46301629359</c:v>
                </c:pt>
                <c:pt idx="4">
                  <c:v>129686.49838613064</c:v>
                </c:pt>
                <c:pt idx="5">
                  <c:v>128389.63340226933</c:v>
                </c:pt>
                <c:pt idx="6">
                  <c:v>127105.73706824663</c:v>
                </c:pt>
                <c:pt idx="7">
                  <c:v>125834.67969756421</c:v>
                </c:pt>
                <c:pt idx="8">
                  <c:v>124576.33290058856</c:v>
                </c:pt>
                <c:pt idx="9">
                  <c:v>123330.56957158264</c:v>
                </c:pt>
              </c:numCache>
            </c:numRef>
          </c:val>
          <c:smooth val="0"/>
          <c:extLst>
            <c:ext xmlns:c16="http://schemas.microsoft.com/office/drawing/2014/chart" uri="{C3380CC4-5D6E-409C-BE32-E72D297353CC}">
              <c16:uniqueId val="{00000001-6FC2-42C6-8E76-4C6D82B4BFC9}"/>
            </c:ext>
          </c:extLst>
        </c:ser>
        <c:dLbls>
          <c:showLegendKey val="0"/>
          <c:showVal val="0"/>
          <c:showCatName val="0"/>
          <c:showSerName val="0"/>
          <c:showPercent val="0"/>
          <c:showBubbleSize val="0"/>
        </c:dLbls>
        <c:marker val="1"/>
        <c:smooth val="0"/>
        <c:axId val="391377952"/>
        <c:axId val="391382264"/>
      </c:lineChart>
      <c:catAx>
        <c:axId val="39138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81872"/>
        <c:crosses val="autoZero"/>
        <c:auto val="1"/>
        <c:lblAlgn val="ctr"/>
        <c:lblOffset val="100"/>
        <c:noMultiLvlLbl val="0"/>
      </c:catAx>
      <c:valAx>
        <c:axId val="39138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[Mg]</a:t>
                </a:r>
              </a:p>
            </c:rich>
          </c:tx>
          <c:layout>
            <c:manualLayout>
              <c:xMode val="edge"/>
              <c:yMode val="edge"/>
              <c:x val="1.6260162601626018E-2"/>
              <c:y val="0.552895568815421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80304"/>
        <c:crosses val="autoZero"/>
        <c:crossBetween val="between"/>
      </c:valAx>
      <c:valAx>
        <c:axId val="3913822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[tys.</a:t>
                </a:r>
                <a:r>
                  <a:rPr lang="pl-PL" baseline="0"/>
                  <a:t> zł]</a:t>
                </a:r>
                <a:endParaRPr lang="pl-P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377952"/>
        <c:crosses val="max"/>
        <c:crossBetween val="between"/>
      </c:valAx>
      <c:catAx>
        <c:axId val="391377952"/>
        <c:scaling>
          <c:orientation val="minMax"/>
        </c:scaling>
        <c:delete val="1"/>
        <c:axPos val="b"/>
        <c:numFmt formatCode="General" sourceLinked="1"/>
        <c:majorTickMark val="out"/>
        <c:minorTickMark val="none"/>
        <c:tickLblPos val="nextTo"/>
        <c:crossAx val="39138226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5875" cap="flat" cmpd="sng" algn="ctr">
      <a:solidFill>
        <a:srgbClr val="7030A0"/>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7D46-E1CF-4938-A2F0-8D601564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33601</Words>
  <Characters>201612</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234744</CharactersWithSpaces>
  <SharedDoc>false</SharedDoc>
  <HLinks>
    <vt:vector size="24" baseType="variant">
      <vt:variant>
        <vt:i4>2555939</vt:i4>
      </vt:variant>
      <vt:variant>
        <vt:i4>9</vt:i4>
      </vt:variant>
      <vt:variant>
        <vt:i4>0</vt:i4>
      </vt:variant>
      <vt:variant>
        <vt:i4>5</vt:i4>
      </vt:variant>
      <vt:variant>
        <vt:lpwstr>https://bip.ure.gov.pl/</vt:lpwstr>
      </vt:variant>
      <vt:variant>
        <vt:lpwstr/>
      </vt:variant>
      <vt:variant>
        <vt:i4>2555939</vt:i4>
      </vt:variant>
      <vt:variant>
        <vt:i4>6</vt:i4>
      </vt:variant>
      <vt:variant>
        <vt:i4>0</vt:i4>
      </vt:variant>
      <vt:variant>
        <vt:i4>5</vt:i4>
      </vt:variant>
      <vt:variant>
        <vt:lpwstr>https://bip.ure.gov.pl/</vt:lpwstr>
      </vt:variant>
      <vt:variant>
        <vt:lpwstr/>
      </vt:variant>
      <vt:variant>
        <vt:i4>4128772</vt:i4>
      </vt:variant>
      <vt:variant>
        <vt:i4>3</vt:i4>
      </vt:variant>
      <vt:variant>
        <vt:i4>0</vt:i4>
      </vt:variant>
      <vt:variant>
        <vt:i4>5</vt:i4>
      </vt:variant>
      <vt:variant>
        <vt:lpwstr>mailto:Mariusz.Radziszewski@klimat.gov.pl</vt:lpwstr>
      </vt:variant>
      <vt:variant>
        <vt:lpwstr/>
      </vt:variant>
      <vt:variant>
        <vt:i4>3276820</vt:i4>
      </vt:variant>
      <vt:variant>
        <vt:i4>0</vt:i4>
      </vt:variant>
      <vt:variant>
        <vt:i4>0</vt:i4>
      </vt:variant>
      <vt:variant>
        <vt:i4>5</vt:i4>
      </vt:variant>
      <vt:variant>
        <vt:lpwstr>mailto:Piotr.Czopek@klimat.gov.pl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MK</dc:creator>
  <cp:keywords/>
  <dc:description/>
  <cp:lastModifiedBy>Jolanta Szczepaniak</cp:lastModifiedBy>
  <cp:revision>2</cp:revision>
  <dcterms:created xsi:type="dcterms:W3CDTF">2022-02-25T15:15:00Z</dcterms:created>
  <dcterms:modified xsi:type="dcterms:W3CDTF">2022-02-25T15:15:00Z</dcterms:modified>
</cp:coreProperties>
</file>