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0E16" w14:textId="618C77D1" w:rsidR="00C860BE" w:rsidRDefault="007511E8" w:rsidP="00644523">
      <w:pPr>
        <w:pStyle w:val="OZNPROJEKTUwskazaniedatylubwersjiprojektu"/>
        <w:rPr>
          <w:rStyle w:val="Ppogrubienie"/>
          <w:b w:val="0"/>
        </w:rPr>
      </w:pPr>
      <w:r w:rsidRPr="0079054F">
        <w:rPr>
          <w:rStyle w:val="Ppogrubienie"/>
          <w:b w:val="0"/>
        </w:rPr>
        <w:t xml:space="preserve">Wersja </w:t>
      </w:r>
      <w:r w:rsidR="00053064" w:rsidRPr="00644523">
        <w:rPr>
          <w:rStyle w:val="Ppogrubienie"/>
          <w:b w:val="0"/>
        </w:rPr>
        <w:t>3</w:t>
      </w:r>
      <w:r w:rsidR="00074E1A" w:rsidRPr="0079054F">
        <w:rPr>
          <w:rStyle w:val="Ppogrubienie"/>
          <w:b w:val="0"/>
        </w:rPr>
        <w:t xml:space="preserve">.0 z dnia </w:t>
      </w:r>
      <w:r w:rsidR="00053064">
        <w:rPr>
          <w:rStyle w:val="Ppogrubienie"/>
          <w:b w:val="0"/>
        </w:rPr>
        <w:t>21</w:t>
      </w:r>
      <w:r w:rsidRPr="0079054F">
        <w:rPr>
          <w:rStyle w:val="Ppogrubienie"/>
          <w:b w:val="0"/>
        </w:rPr>
        <w:t>.07.2020</w:t>
      </w:r>
      <w:r w:rsidR="00074E1A" w:rsidRPr="0079054F">
        <w:rPr>
          <w:rStyle w:val="Ppogrubienie"/>
          <w:b w:val="0"/>
        </w:rPr>
        <w:t xml:space="preserve"> r. </w:t>
      </w:r>
    </w:p>
    <w:p w14:paraId="070A0AC2" w14:textId="77777777" w:rsidR="0079054F" w:rsidRPr="0079054F" w:rsidRDefault="0079054F" w:rsidP="0079054F">
      <w:pPr>
        <w:pStyle w:val="OZNRODZAKTUtznustawalubrozporzdzenieiorganwydajcy"/>
      </w:pPr>
    </w:p>
    <w:p w14:paraId="274B60C3" w14:textId="77777777" w:rsidR="00C860BE" w:rsidRPr="00AC515C" w:rsidRDefault="00074E1A" w:rsidP="0079054F">
      <w:pPr>
        <w:pStyle w:val="OZNRODZAKTUtznustawalubrozporzdzenieiorganwydajcy"/>
      </w:pPr>
      <w:r w:rsidRPr="00AC515C">
        <w:t>ROZPORZĄDZENIE</w:t>
      </w:r>
    </w:p>
    <w:p w14:paraId="11CBD9BB" w14:textId="77777777" w:rsidR="00C860BE" w:rsidRPr="00AC515C" w:rsidRDefault="00074E1A" w:rsidP="0079054F">
      <w:pPr>
        <w:pStyle w:val="OZNRODZAKTUtznustawalubrozporzdzenieiorganwydajcy"/>
        <w:rPr>
          <w:rStyle w:val="IGindeksgrny"/>
        </w:rPr>
      </w:pPr>
      <w:r w:rsidRPr="00AC515C">
        <w:t xml:space="preserve">MINISTRA </w:t>
      </w:r>
      <w:r w:rsidR="007511E8" w:rsidRPr="00AC515C">
        <w:t>KLIMATU</w:t>
      </w:r>
      <w:r w:rsidRPr="00AC515C">
        <w:rPr>
          <w:rStyle w:val="IGindeksgrny"/>
          <w:rFonts w:eastAsiaTheme="majorEastAsia"/>
        </w:rPr>
        <w:footnoteReference w:id="1"/>
      </w:r>
      <w:r w:rsidRPr="00AC515C">
        <w:rPr>
          <w:rStyle w:val="IGindeksgrny"/>
          <w:rFonts w:eastAsiaTheme="majorEastAsia"/>
        </w:rPr>
        <w:t>)</w:t>
      </w:r>
    </w:p>
    <w:p w14:paraId="546C99F3" w14:textId="77777777" w:rsidR="00C860BE" w:rsidRPr="0079054F" w:rsidRDefault="00074E1A" w:rsidP="0079054F">
      <w:pPr>
        <w:pStyle w:val="DATAAKTUdatauchwalenialubwydaniaaktu"/>
      </w:pPr>
      <w:r w:rsidRPr="0079054F">
        <w:t>z dnia</w:t>
      </w:r>
    </w:p>
    <w:p w14:paraId="655ACFE6" w14:textId="77777777" w:rsidR="00C860BE" w:rsidRPr="00AC515C" w:rsidRDefault="00074E1A" w:rsidP="00C860BE">
      <w:pPr>
        <w:pStyle w:val="TYTUAKTUprzedmiotregulacjiustawylubrozporzdzenia"/>
      </w:pPr>
      <w:r w:rsidRPr="00AC515C">
        <w:t>w sprawie parametrów auk</w:t>
      </w:r>
      <w:r w:rsidR="007511E8" w:rsidRPr="00AC515C">
        <w:t>cji głównej dla roku dostaw 2025</w:t>
      </w:r>
      <w:r w:rsidRPr="00AC515C">
        <w:t xml:space="preserve"> oraz parametrów aukcji </w:t>
      </w:r>
      <w:r w:rsidR="007511E8" w:rsidRPr="00AC515C">
        <w:t>dodatkowych dla roku dostaw 2022</w:t>
      </w:r>
    </w:p>
    <w:p w14:paraId="67E6957A" w14:textId="77777777" w:rsidR="00C860BE" w:rsidRPr="00AC515C" w:rsidRDefault="00074E1A" w:rsidP="00C860BE">
      <w:pPr>
        <w:pStyle w:val="NIEARTTEKSTtekstnieartykuowanynppodstprawnarozplubpreambua"/>
      </w:pPr>
      <w:r w:rsidRPr="00AC515C">
        <w:t xml:space="preserve">Na podstawie art. 34 ust. 1 ustawy z dnia 8 grudnia 2017 r. o </w:t>
      </w:r>
      <w:r w:rsidR="007511E8" w:rsidRPr="00AC515C">
        <w:t>rynku mocy (Dz. U. z 2020 r. poz. 247</w:t>
      </w:r>
      <w:r w:rsidRPr="00AC515C">
        <w:t>) zarządza się, co następuje:</w:t>
      </w:r>
    </w:p>
    <w:p w14:paraId="14014AE1" w14:textId="77777777" w:rsidR="00C860BE" w:rsidRPr="0079054F" w:rsidRDefault="00074E1A" w:rsidP="0079054F">
      <w:pPr>
        <w:pStyle w:val="ROZDZODDZOZNoznaczenierozdziauluboddziau"/>
        <w:rPr>
          <w:rStyle w:val="Ppogrubienie"/>
          <w:b w:val="0"/>
        </w:rPr>
      </w:pPr>
      <w:r w:rsidRPr="0079054F">
        <w:rPr>
          <w:rStyle w:val="Ppogrubienie"/>
          <w:b w:val="0"/>
        </w:rPr>
        <w:t>Rozdział 1</w:t>
      </w:r>
    </w:p>
    <w:p w14:paraId="10A26040" w14:textId="77777777" w:rsidR="00C860BE" w:rsidRPr="0079054F" w:rsidRDefault="00074E1A" w:rsidP="0079054F">
      <w:pPr>
        <w:pStyle w:val="ROZDZODDZPRZEDMprzedmiotregulacjirozdziauluboddziau"/>
        <w:rPr>
          <w:rStyle w:val="Ppogrubienie"/>
          <w:b/>
        </w:rPr>
      </w:pPr>
      <w:r w:rsidRPr="0079054F">
        <w:rPr>
          <w:rStyle w:val="Ppogrubienie"/>
          <w:b/>
        </w:rPr>
        <w:t>Parametry a</w:t>
      </w:r>
      <w:r w:rsidR="007511E8" w:rsidRPr="0079054F">
        <w:rPr>
          <w:rStyle w:val="Ppogrubienie"/>
          <w:b/>
        </w:rPr>
        <w:t>ukcji głównej na rok dostaw 2025</w:t>
      </w:r>
    </w:p>
    <w:p w14:paraId="405327CE" w14:textId="56E3B902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1. </w:t>
      </w:r>
      <w:r w:rsidRPr="00AC515C">
        <w:t>Zapotrzebowanie na moc w aukcji głównej dla okresu d</w:t>
      </w:r>
      <w:r w:rsidR="007511E8" w:rsidRPr="00AC515C">
        <w:t>ostaw przypadającego na rok 2025</w:t>
      </w:r>
      <w:r w:rsidRPr="00AC515C">
        <w:t xml:space="preserve"> wynosi </w:t>
      </w:r>
      <w:r w:rsidR="00C3491B">
        <w:t>2 526</w:t>
      </w:r>
      <w:r w:rsidRPr="00AC515C">
        <w:t> MW.</w:t>
      </w:r>
    </w:p>
    <w:p w14:paraId="512AD849" w14:textId="08CB384B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2.</w:t>
      </w:r>
      <w:r w:rsidRPr="00AC515C">
        <w:t xml:space="preserve"> Cena wejścia na rynek nowej jednostki wytwórczej, odzwierciedlająca alternatywny koszt pozyskania mocy przez operatora przez budowę jednostki wytwórczej o najniższych operacyjnych i kapitałowych kosztach stałych</w:t>
      </w:r>
      <w:r w:rsidR="00867310">
        <w:t xml:space="preserve">, z uwzględnieniem potencjalnej marży na sprzedaży energii elektrycznej i świadczeniu usług systemowych, o których mowa w art. 9c ust. 2 pkt 8 ustawy z dnia 10 kwietnia 1997 r. </w:t>
      </w:r>
      <w:r w:rsidR="00D16173" w:rsidRPr="00AC515C">
        <w:t>–</w:t>
      </w:r>
      <w:r w:rsidR="00867310">
        <w:t xml:space="preserve"> Prawo energetyczne (Dz. U. z 2020 r. poz. 883</w:t>
      </w:r>
      <w:r w:rsidR="00D16173">
        <w:t>, 843 i 1086</w:t>
      </w:r>
      <w:r w:rsidR="00867310">
        <w:t>)</w:t>
      </w:r>
      <w:r w:rsidR="004E0738" w:rsidRPr="00AC515C">
        <w:t>,</w:t>
      </w:r>
      <w:r w:rsidRPr="00AC515C">
        <w:t xml:space="preserve"> w aukcji głównej dla okresu dostaw przypadają</w:t>
      </w:r>
      <w:r w:rsidR="007511E8" w:rsidRPr="00AC515C">
        <w:t>cego na rok 2025 wynosi 361</w:t>
      </w:r>
      <w:r w:rsidRPr="00AC515C">
        <w:t> zł/</w:t>
      </w:r>
      <w:proofErr w:type="spellStart"/>
      <w:r w:rsidRPr="00AC515C">
        <w:t>kW.</w:t>
      </w:r>
      <w:proofErr w:type="spellEnd"/>
    </w:p>
    <w:p w14:paraId="73B8492D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3.</w:t>
      </w:r>
      <w:r w:rsidRPr="00AC515C">
        <w:t xml:space="preserve"> Współczynnik zwiększający cenę, o której mowa w § 2, służący do wyznaczenia ceny maksymalnej obowiązującej w aukcji głównej dla okresu d</w:t>
      </w:r>
      <w:r w:rsidR="007511E8" w:rsidRPr="00AC515C">
        <w:t>ostaw przypadającego na rok 2025</w:t>
      </w:r>
      <w:r w:rsidRPr="00AC515C">
        <w:t>, wynosi 1,3.</w:t>
      </w:r>
    </w:p>
    <w:p w14:paraId="7FDC2952" w14:textId="272DA7AC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4.</w:t>
      </w:r>
      <w:r w:rsidRPr="00AC515C">
        <w:t xml:space="preserve"> Parametr wyznaczający wielkość mocy poniżej zapotrzebowania na moc w aukcji głównej, dla której cena osiąga wartość maksymalną uwzględniającą współczynnik, o którym mowa w § 3, dla okresu d</w:t>
      </w:r>
      <w:r w:rsidR="007511E8" w:rsidRPr="00AC515C">
        <w:t>ostaw przypadającego na rok 2025</w:t>
      </w:r>
      <w:r w:rsidRPr="00AC515C">
        <w:t xml:space="preserve"> wynosi </w:t>
      </w:r>
      <w:r w:rsidR="00C3491B">
        <w:t>84,37</w:t>
      </w:r>
      <w:r w:rsidRPr="00AC515C">
        <w:t>%.</w:t>
      </w:r>
    </w:p>
    <w:p w14:paraId="3C2A373C" w14:textId="0B387E7B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lastRenderedPageBreak/>
        <w:t>§ 5.</w:t>
      </w:r>
      <w:r w:rsidRPr="00AC515C">
        <w:t xml:space="preserve"> Parametr wyznaczający wielkość mocy ponad zapotrzebowanie na moc w aukcji głównej, dla której cena osiąga wartość minimalną równą 0,01 zł/kW/miesiąc, dla okresu d</w:t>
      </w:r>
      <w:r w:rsidR="007511E8" w:rsidRPr="00AC515C">
        <w:t>ostaw przypadającego na rok 2025</w:t>
      </w:r>
      <w:r w:rsidRPr="00AC515C">
        <w:t xml:space="preserve"> wynosi </w:t>
      </w:r>
      <w:r w:rsidR="00C3491B">
        <w:t>52,07</w:t>
      </w:r>
      <w:r w:rsidRPr="00AC515C">
        <w:t>%.</w:t>
      </w:r>
    </w:p>
    <w:p w14:paraId="3A95C9CC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6.</w:t>
      </w:r>
      <w:r w:rsidRPr="00AC515C">
        <w:t xml:space="preserve"> Cena maksymalna określona dla </w:t>
      </w:r>
      <w:proofErr w:type="spellStart"/>
      <w:r w:rsidRPr="00AC515C">
        <w:t>cenobiorcy</w:t>
      </w:r>
      <w:proofErr w:type="spellEnd"/>
      <w:r w:rsidRPr="00AC515C">
        <w:t>, wyznaczona na podstawie kapitałowych i operacyjnych kosztów stałych</w:t>
      </w:r>
      <w:r w:rsidR="004E0738" w:rsidRPr="00AC515C">
        <w:t>,</w:t>
      </w:r>
      <w:r w:rsidRPr="00AC515C">
        <w:t xml:space="preserve"> w aukcji głównej dla okresu dostaw przypadającego na</w:t>
      </w:r>
      <w:r w:rsidR="007511E8" w:rsidRPr="00AC515C">
        <w:t xml:space="preserve"> rok 2025</w:t>
      </w:r>
      <w:r w:rsidRPr="00AC515C">
        <w:t xml:space="preserve"> wynosi </w:t>
      </w:r>
      <w:r w:rsidR="007511E8" w:rsidRPr="00AC515C">
        <w:t>179</w:t>
      </w:r>
      <w:r w:rsidRPr="00AC515C">
        <w:t> zł/</w:t>
      </w:r>
      <w:proofErr w:type="spellStart"/>
      <w:r w:rsidRPr="00AC515C">
        <w:t>kW.</w:t>
      </w:r>
      <w:proofErr w:type="spellEnd"/>
    </w:p>
    <w:p w14:paraId="1F6B5826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7. </w:t>
      </w:r>
      <w:r w:rsidRPr="00AC515C">
        <w:t>Maksymalna liczba rund aukcji głównej dla okresu d</w:t>
      </w:r>
      <w:r w:rsidR="007511E8" w:rsidRPr="00AC515C">
        <w:t>ostaw przypadającego na rok 2025</w:t>
      </w:r>
      <w:r w:rsidRPr="00AC515C">
        <w:t xml:space="preserve"> wynosi 12.</w:t>
      </w:r>
    </w:p>
    <w:p w14:paraId="742176C1" w14:textId="3118819F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8. </w:t>
      </w:r>
      <w:r w:rsidRPr="00AC515C">
        <w:t>Jednostkowy poziom nakładów inwestycyjnych netto</w:t>
      </w:r>
      <w:r w:rsidR="005518B8">
        <w:t xml:space="preserve"> </w:t>
      </w:r>
      <w:r w:rsidRPr="00AC515C">
        <w:t xml:space="preserve">odniesiony do mocy osiągalnej netto, uprawniający do oferowania obowiązków </w:t>
      </w:r>
      <w:proofErr w:type="spellStart"/>
      <w:r w:rsidRPr="00AC515C">
        <w:t>mocowych</w:t>
      </w:r>
      <w:proofErr w:type="spellEnd"/>
      <w:r w:rsidRPr="00AC515C">
        <w:t xml:space="preserve"> w aukcji głównej dla okresu d</w:t>
      </w:r>
      <w:r w:rsidR="007511E8" w:rsidRPr="00AC515C">
        <w:t>ostaw przypadającego na rok 2025</w:t>
      </w:r>
      <w:r w:rsidRPr="00AC515C">
        <w:t xml:space="preserve"> na nie więcej niż:</w:t>
      </w:r>
    </w:p>
    <w:p w14:paraId="42D5B8DC" w14:textId="77777777" w:rsidR="00C860BE" w:rsidRPr="00AC515C" w:rsidRDefault="00332536" w:rsidP="00C860BE">
      <w:pPr>
        <w:pStyle w:val="PKTpunkt"/>
      </w:pPr>
      <w:r w:rsidRPr="00AC515C">
        <w:t>1)</w:t>
      </w:r>
      <w:r w:rsidRPr="00AC515C">
        <w:tab/>
        <w:t>15 okresów dostaw</w:t>
      </w:r>
      <w:r w:rsidR="00074E1A" w:rsidRPr="00AC515C">
        <w:t xml:space="preserve"> przez nową jednostkę rynku mocy wytwórczą, wynosi 2400 zł/kW;</w:t>
      </w:r>
    </w:p>
    <w:p w14:paraId="1C219562" w14:textId="77777777" w:rsidR="00C860BE" w:rsidRPr="00AC515C" w:rsidRDefault="00074E1A" w:rsidP="00C860BE">
      <w:pPr>
        <w:pStyle w:val="PKTpunkt"/>
      </w:pPr>
      <w:r w:rsidRPr="00AC515C">
        <w:t>2)</w:t>
      </w:r>
      <w:r w:rsidR="00332536" w:rsidRPr="00AC515C">
        <w:tab/>
        <w:t>5 okresów dostaw</w:t>
      </w:r>
      <w:r w:rsidRPr="00AC515C">
        <w:t xml:space="preserve"> przez nową i modernizowaną jednostkę rynku mocy wytwórczą albo jednostkę rynku mocy redukcji zapotrzebowania, wynosi 400 zł/</w:t>
      </w:r>
      <w:proofErr w:type="spellStart"/>
      <w:r w:rsidRPr="00AC515C">
        <w:t>kW.</w:t>
      </w:r>
      <w:proofErr w:type="spellEnd"/>
    </w:p>
    <w:p w14:paraId="4F6C92B0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9. </w:t>
      </w:r>
      <w:r w:rsidRPr="00AC515C">
        <w:t xml:space="preserve">Minimalne wielkości obowiązków </w:t>
      </w:r>
      <w:proofErr w:type="spellStart"/>
      <w:r w:rsidRPr="00AC515C">
        <w:t>mocowych</w:t>
      </w:r>
      <w:proofErr w:type="spellEnd"/>
      <w:r w:rsidRPr="00AC515C">
        <w:t xml:space="preserve"> planowanych do pozyskania w wyniku aukcji dodatkowych dla roku dostaw 202</w:t>
      </w:r>
      <w:r w:rsidR="007511E8" w:rsidRPr="00AC515C">
        <w:t>5</w:t>
      </w:r>
      <w:r w:rsidRPr="00AC515C">
        <w:t xml:space="preserve"> wynoszą:</w:t>
      </w:r>
    </w:p>
    <w:p w14:paraId="13444BB9" w14:textId="778092A8" w:rsidR="00C860BE" w:rsidRPr="00AC515C" w:rsidRDefault="007649EF" w:rsidP="00103BE8">
      <w:pPr>
        <w:pStyle w:val="PKTpunkt"/>
      </w:pPr>
      <w:r>
        <w:t>1</w:t>
      </w:r>
      <w:r w:rsidR="00074E1A" w:rsidRPr="00AC515C">
        <w:t>)</w:t>
      </w:r>
      <w:r w:rsidR="00103BE8">
        <w:tab/>
      </w:r>
      <w:r w:rsidR="007511E8" w:rsidRPr="00AC515C">
        <w:t>500</w:t>
      </w:r>
      <w:r w:rsidR="00074E1A" w:rsidRPr="00AC515C">
        <w:t xml:space="preserve"> MW – dla I kwartału;</w:t>
      </w:r>
    </w:p>
    <w:p w14:paraId="3E19AD42" w14:textId="508FA845" w:rsidR="00C860BE" w:rsidRPr="00AC515C" w:rsidRDefault="007649EF" w:rsidP="00103BE8">
      <w:pPr>
        <w:pStyle w:val="PKTpunkt"/>
      </w:pPr>
      <w:r>
        <w:t>2</w:t>
      </w:r>
      <w:r w:rsidR="00074E1A" w:rsidRPr="00AC515C">
        <w:t>)</w:t>
      </w:r>
      <w:r w:rsidR="00103BE8">
        <w:tab/>
      </w:r>
      <w:r w:rsidR="007511E8" w:rsidRPr="00AC515C">
        <w:t>500</w:t>
      </w:r>
      <w:r w:rsidR="00074E1A" w:rsidRPr="00AC515C">
        <w:t xml:space="preserve"> MW – dla II kwartału;</w:t>
      </w:r>
    </w:p>
    <w:p w14:paraId="7A188787" w14:textId="0C7D8339" w:rsidR="00C860BE" w:rsidRPr="00AC515C" w:rsidRDefault="007649EF" w:rsidP="00103BE8">
      <w:pPr>
        <w:pStyle w:val="PKTpunkt"/>
      </w:pPr>
      <w:r>
        <w:t>3</w:t>
      </w:r>
      <w:r w:rsidR="00074E1A" w:rsidRPr="00AC515C">
        <w:t>)</w:t>
      </w:r>
      <w:r w:rsidR="00103BE8">
        <w:tab/>
      </w:r>
      <w:r w:rsidR="007511E8" w:rsidRPr="00AC515C">
        <w:t>500</w:t>
      </w:r>
      <w:r w:rsidR="00074E1A" w:rsidRPr="00AC515C">
        <w:t xml:space="preserve"> MW – dla III kwartału;</w:t>
      </w:r>
    </w:p>
    <w:p w14:paraId="1A143BFC" w14:textId="4EAC98F6" w:rsidR="00C860BE" w:rsidRPr="00AC515C" w:rsidRDefault="007649EF" w:rsidP="00103BE8">
      <w:pPr>
        <w:pStyle w:val="PKTpunkt"/>
      </w:pPr>
      <w:r>
        <w:t>4</w:t>
      </w:r>
      <w:r w:rsidR="00074E1A" w:rsidRPr="00AC515C">
        <w:t>)</w:t>
      </w:r>
      <w:r w:rsidR="00103BE8">
        <w:tab/>
      </w:r>
      <w:r w:rsidR="007511E8" w:rsidRPr="00AC515C">
        <w:t xml:space="preserve">500 </w:t>
      </w:r>
      <w:r w:rsidR="00074E1A" w:rsidRPr="00AC515C">
        <w:t>MW – dla IV kwartału.</w:t>
      </w:r>
    </w:p>
    <w:p w14:paraId="154DE26E" w14:textId="6C20140B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10. </w:t>
      </w:r>
      <w:r w:rsidRPr="00AC515C">
        <w:t>Korekcyjne współczynniki dyspozycyjności dla poszczególnych grup technologii dla okresu dostaw przypadającego na rok 202</w:t>
      </w:r>
      <w:r w:rsidR="00867310">
        <w:t>5</w:t>
      </w:r>
      <w:r w:rsidRPr="00AC515C">
        <w:t xml:space="preserve"> określa się na poziomie:</w:t>
      </w:r>
    </w:p>
    <w:p w14:paraId="67F44C0F" w14:textId="77777777" w:rsidR="00C860BE" w:rsidRPr="00AC515C" w:rsidRDefault="007511E8" w:rsidP="00C860BE">
      <w:pPr>
        <w:pStyle w:val="PKTpunkt"/>
      </w:pPr>
      <w:r w:rsidRPr="00AC515C">
        <w:t>1)</w:t>
      </w:r>
      <w:r w:rsidRPr="00AC515C">
        <w:tab/>
        <w:t>92,58</w:t>
      </w:r>
      <w:r w:rsidR="00074E1A" w:rsidRPr="00AC515C">
        <w:t xml:space="preserve">% – dla turbin parowych, układów turbin parowych, turbin powietrznych, ogniw paliwowych oraz organicznego cyklu </w:t>
      </w:r>
      <w:proofErr w:type="spellStart"/>
      <w:r w:rsidR="00074E1A" w:rsidRPr="00AC515C">
        <w:t>Rankine'a</w:t>
      </w:r>
      <w:proofErr w:type="spellEnd"/>
      <w:r w:rsidR="00074E1A" w:rsidRPr="00AC515C">
        <w:t>;</w:t>
      </w:r>
    </w:p>
    <w:p w14:paraId="2216BAD6" w14:textId="77777777" w:rsidR="00C860BE" w:rsidRPr="00AC515C" w:rsidRDefault="007511E8" w:rsidP="00C860BE">
      <w:pPr>
        <w:pStyle w:val="PKTpunkt"/>
      </w:pPr>
      <w:r w:rsidRPr="00AC515C">
        <w:t>2)</w:t>
      </w:r>
      <w:r w:rsidRPr="00AC515C">
        <w:tab/>
      </w:r>
      <w:r w:rsidR="006C27A2" w:rsidRPr="00AC515C">
        <w:t>93,94</w:t>
      </w:r>
      <w:r w:rsidR="00074E1A" w:rsidRPr="00AC515C">
        <w:t>% – dla układów gazowo-parowych;</w:t>
      </w:r>
    </w:p>
    <w:p w14:paraId="5D0A5FFC" w14:textId="77777777" w:rsidR="00C860BE" w:rsidRPr="00AC515C" w:rsidRDefault="007511E8" w:rsidP="00C860BE">
      <w:pPr>
        <w:pStyle w:val="PKTpunkt"/>
      </w:pPr>
      <w:r w:rsidRPr="00AC515C">
        <w:t>3)</w:t>
      </w:r>
      <w:r w:rsidRPr="00AC515C">
        <w:tab/>
        <w:t>93</w:t>
      </w:r>
      <w:r w:rsidR="006C27A2" w:rsidRPr="00AC515C">
        <w:t>,40</w:t>
      </w:r>
      <w:r w:rsidR="00074E1A" w:rsidRPr="00AC515C">
        <w:t>% – dla turbin gazowych pracujących w cyklu prostym oraz silników tłokowych;</w:t>
      </w:r>
    </w:p>
    <w:p w14:paraId="721121E2" w14:textId="77777777" w:rsidR="00C860BE" w:rsidRPr="00AC515C" w:rsidRDefault="006C27A2" w:rsidP="00C860BE">
      <w:pPr>
        <w:pStyle w:val="PKTpunkt"/>
      </w:pPr>
      <w:r w:rsidRPr="00AC515C">
        <w:t>4)</w:t>
      </w:r>
      <w:r w:rsidRPr="00AC515C">
        <w:tab/>
        <w:t>13,93</w:t>
      </w:r>
      <w:r w:rsidR="00074E1A" w:rsidRPr="00AC515C">
        <w:t>% – dla turbin wiatrowych lądowych;</w:t>
      </w:r>
    </w:p>
    <w:p w14:paraId="164DC50E" w14:textId="77777777" w:rsidR="00C860BE" w:rsidRPr="00AC515C" w:rsidRDefault="00074E1A" w:rsidP="00C860BE">
      <w:pPr>
        <w:pStyle w:val="PKTpunkt"/>
      </w:pPr>
      <w:r w:rsidRPr="00AC515C">
        <w:t>5)</w:t>
      </w:r>
      <w:r w:rsidRPr="00AC515C">
        <w:tab/>
      </w:r>
      <w:r w:rsidR="006C27A2" w:rsidRPr="00AC515C">
        <w:t>20</w:t>
      </w:r>
      <w:r w:rsidRPr="00AC515C">
        <w:t>,</w:t>
      </w:r>
      <w:r w:rsidR="006C27A2" w:rsidRPr="00AC515C">
        <w:t>34</w:t>
      </w:r>
      <w:r w:rsidRPr="00AC515C">
        <w:t>% – dla turbin wiatrowych morskich;</w:t>
      </w:r>
    </w:p>
    <w:p w14:paraId="408D5791" w14:textId="77777777" w:rsidR="00C860BE" w:rsidRPr="00AC515C" w:rsidRDefault="006C27A2" w:rsidP="00C860BE">
      <w:pPr>
        <w:pStyle w:val="PKTpunkt"/>
      </w:pPr>
      <w:r w:rsidRPr="00AC515C">
        <w:t>6)</w:t>
      </w:r>
      <w:r w:rsidRPr="00AC515C">
        <w:tab/>
        <w:t>46,81</w:t>
      </w:r>
      <w:r w:rsidR="00074E1A" w:rsidRPr="00AC515C">
        <w:t>% – dla elektrowni wodnych przepływowych;</w:t>
      </w:r>
    </w:p>
    <w:p w14:paraId="09653956" w14:textId="77777777" w:rsidR="00C860BE" w:rsidRPr="00AC515C" w:rsidRDefault="006C27A2" w:rsidP="00C860BE">
      <w:pPr>
        <w:pStyle w:val="PKTpunkt"/>
      </w:pPr>
      <w:r w:rsidRPr="00AC515C">
        <w:t>7)</w:t>
      </w:r>
      <w:r w:rsidRPr="00AC515C">
        <w:tab/>
        <w:t>99,37</w:t>
      </w:r>
      <w:r w:rsidR="00074E1A" w:rsidRPr="00AC515C">
        <w:t>% – dla elektrowni wodnych zbiornikowo-przepływowych, zbiornikowych z członem pompowym oraz zbiornikowo-przepływowych z członem pompowym;</w:t>
      </w:r>
    </w:p>
    <w:p w14:paraId="0B553BB0" w14:textId="77777777" w:rsidR="00C860BE" w:rsidRPr="00AC515C" w:rsidRDefault="00074E1A" w:rsidP="00C860BE">
      <w:pPr>
        <w:pStyle w:val="PKTpunkt"/>
      </w:pPr>
      <w:r w:rsidRPr="00AC515C">
        <w:t>8)</w:t>
      </w:r>
      <w:r w:rsidRPr="00AC515C">
        <w:tab/>
      </w:r>
      <w:r w:rsidR="006C27A2" w:rsidRPr="00AC515C">
        <w:t>2,27</w:t>
      </w:r>
      <w:r w:rsidRPr="00AC515C">
        <w:t>% – dla elektrowni słonecznych;</w:t>
      </w:r>
    </w:p>
    <w:p w14:paraId="5FDF7F31" w14:textId="77777777" w:rsidR="00C860BE" w:rsidRPr="00AC515C" w:rsidRDefault="00074E1A" w:rsidP="00C860BE">
      <w:pPr>
        <w:pStyle w:val="PKTpunkt"/>
      </w:pPr>
      <w:r w:rsidRPr="00AC515C">
        <w:lastRenderedPageBreak/>
        <w:t>9)</w:t>
      </w:r>
      <w:r w:rsidRPr="00AC515C">
        <w:tab/>
        <w:t xml:space="preserve">96,11% – dla magazynów energii elektrycznej w postaci akumulatorów, kinetycznych zasobników energii i </w:t>
      </w:r>
      <w:proofErr w:type="spellStart"/>
      <w:r w:rsidRPr="00AC515C">
        <w:t>superkondensatorów</w:t>
      </w:r>
      <w:proofErr w:type="spellEnd"/>
      <w:r w:rsidRPr="00AC515C">
        <w:t>;</w:t>
      </w:r>
    </w:p>
    <w:p w14:paraId="1C1F53BE" w14:textId="77777777" w:rsidR="00C860BE" w:rsidRPr="00AC515C" w:rsidRDefault="00074E1A" w:rsidP="00C860BE">
      <w:pPr>
        <w:pStyle w:val="PKTpunkt"/>
      </w:pPr>
      <w:r w:rsidRPr="00AC515C">
        <w:t>10)</w:t>
      </w:r>
      <w:r w:rsidRPr="00AC515C">
        <w:tab/>
        <w:t>100% – dla jednostek redukcji zapotrzebowania;</w:t>
      </w:r>
    </w:p>
    <w:p w14:paraId="78DC6ACC" w14:textId="77777777" w:rsidR="00C860BE" w:rsidRPr="00AC515C" w:rsidRDefault="006C27A2" w:rsidP="00C860BE">
      <w:pPr>
        <w:pStyle w:val="PKTpunkt"/>
      </w:pPr>
      <w:r w:rsidRPr="00AC515C">
        <w:t>11)</w:t>
      </w:r>
      <w:r w:rsidRPr="00AC515C">
        <w:tab/>
        <w:t>90,78</w:t>
      </w:r>
      <w:r w:rsidR="00074E1A" w:rsidRPr="00AC515C">
        <w:t xml:space="preserve"> % – dla pozostałych rodzajów technologii.</w:t>
      </w:r>
    </w:p>
    <w:p w14:paraId="3AFA1EF4" w14:textId="77777777" w:rsidR="007511E8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11. </w:t>
      </w:r>
      <w:r w:rsidRPr="00AC515C">
        <w:t xml:space="preserve">Maksymalne wolumeny obowiązków </w:t>
      </w:r>
      <w:proofErr w:type="spellStart"/>
      <w:r w:rsidRPr="00AC515C">
        <w:t>mocowych</w:t>
      </w:r>
      <w:proofErr w:type="spellEnd"/>
      <w:r w:rsidRPr="00AC515C">
        <w:t xml:space="preserve"> dla stref, o których mowa w art. 6 ust. 6 ustawy z dnia 8 grudnia 2017 r. o rynku mocy, dla okresu dostaw przypadającego na rok 202</w:t>
      </w:r>
      <w:r w:rsidR="006C27A2" w:rsidRPr="00AC515C">
        <w:t>5</w:t>
      </w:r>
      <w:r w:rsidR="007511E8" w:rsidRPr="00AC515C">
        <w:t xml:space="preserve"> wynoszą:</w:t>
      </w:r>
    </w:p>
    <w:p w14:paraId="28824072" w14:textId="25ADCE67" w:rsidR="007511E8" w:rsidRPr="00AC515C" w:rsidRDefault="007511E8" w:rsidP="007511E8">
      <w:pPr>
        <w:pStyle w:val="PKTpunkt"/>
      </w:pPr>
      <w:r w:rsidRPr="00AC515C">
        <w:t>1)</w:t>
      </w:r>
      <w:r w:rsidR="000863F8">
        <w:tab/>
      </w:r>
      <w:r w:rsidR="006C27A2" w:rsidRPr="00AC515C">
        <w:t>1699 MW –</w:t>
      </w:r>
      <w:r w:rsidRPr="00AC515C">
        <w:t xml:space="preserve"> dla strefy profilu </w:t>
      </w:r>
      <w:r w:rsidR="006C27A2" w:rsidRPr="00AC515C">
        <w:t>synchronicznego;</w:t>
      </w:r>
    </w:p>
    <w:p w14:paraId="27EF2C08" w14:textId="17D4082F" w:rsidR="007511E8" w:rsidRPr="00AC515C" w:rsidRDefault="007511E8" w:rsidP="007511E8">
      <w:pPr>
        <w:pStyle w:val="PKTpunkt"/>
      </w:pPr>
      <w:r w:rsidRPr="00AC515C">
        <w:t>2)</w:t>
      </w:r>
      <w:r w:rsidR="000863F8">
        <w:tab/>
      </w:r>
      <w:r w:rsidR="006C27A2" w:rsidRPr="00AC515C">
        <w:t>80 MW –</w:t>
      </w:r>
      <w:r w:rsidRPr="00AC515C">
        <w:t xml:space="preserve"> dla L</w:t>
      </w:r>
      <w:r w:rsidR="006C27A2" w:rsidRPr="00AC515C">
        <w:t>itwy;</w:t>
      </w:r>
    </w:p>
    <w:p w14:paraId="1D7907D9" w14:textId="3C4AA07B" w:rsidR="00C860BE" w:rsidRPr="00AC515C" w:rsidRDefault="007511E8" w:rsidP="007511E8">
      <w:pPr>
        <w:pStyle w:val="PKTpunkt"/>
      </w:pPr>
      <w:r w:rsidRPr="00AC515C">
        <w:t>3)</w:t>
      </w:r>
      <w:r w:rsidR="000863F8">
        <w:tab/>
      </w:r>
      <w:r w:rsidR="006C27A2" w:rsidRPr="00AC515C">
        <w:t>387 MW –</w:t>
      </w:r>
      <w:r w:rsidRPr="00AC515C">
        <w:t xml:space="preserve"> dla S</w:t>
      </w:r>
      <w:r w:rsidR="006C27A2" w:rsidRPr="00AC515C">
        <w:t>zwecji</w:t>
      </w:r>
      <w:r w:rsidRPr="00AC515C">
        <w:t xml:space="preserve">. </w:t>
      </w:r>
    </w:p>
    <w:p w14:paraId="472EDA9C" w14:textId="77777777" w:rsidR="00C860BE" w:rsidRPr="0079054F" w:rsidRDefault="00074E1A" w:rsidP="0079054F">
      <w:pPr>
        <w:pStyle w:val="ROZDZODDZOZNoznaczenierozdziauluboddziau"/>
        <w:rPr>
          <w:rStyle w:val="Ppogrubienie"/>
          <w:b w:val="0"/>
        </w:rPr>
      </w:pPr>
      <w:r w:rsidRPr="0079054F">
        <w:rPr>
          <w:rStyle w:val="Ppogrubienie"/>
          <w:b w:val="0"/>
        </w:rPr>
        <w:t>Rozdział 2</w:t>
      </w:r>
    </w:p>
    <w:p w14:paraId="6B857726" w14:textId="77777777" w:rsidR="00C860BE" w:rsidRPr="0079054F" w:rsidRDefault="00074E1A" w:rsidP="0079054F">
      <w:pPr>
        <w:pStyle w:val="ROZDZODDZPRZEDMprzedmiotregulacjirozdziauluboddziau"/>
        <w:rPr>
          <w:rStyle w:val="Ppogrubienie"/>
          <w:b/>
        </w:rPr>
      </w:pPr>
      <w:r w:rsidRPr="0079054F">
        <w:rPr>
          <w:rStyle w:val="Ppogrubienie"/>
          <w:b/>
        </w:rPr>
        <w:t>Parametry aukcj</w:t>
      </w:r>
      <w:r w:rsidR="007511E8" w:rsidRPr="0079054F">
        <w:rPr>
          <w:rStyle w:val="Ppogrubienie"/>
          <w:b/>
        </w:rPr>
        <w:t>i dodatkowych na rok dostaw 2022</w:t>
      </w:r>
    </w:p>
    <w:p w14:paraId="7A38DCE5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12.</w:t>
      </w:r>
      <w:r w:rsidRPr="00AC515C">
        <w:t xml:space="preserve"> Zapotrzebowanie na moc w aukcjach dodatkowych dla okresu dostaw przypadającego na rok 202</w:t>
      </w:r>
      <w:r w:rsidR="006C27A2" w:rsidRPr="00AC515C">
        <w:t>2</w:t>
      </w:r>
      <w:r w:rsidRPr="00AC515C">
        <w:t xml:space="preserve"> wynosi:</w:t>
      </w:r>
    </w:p>
    <w:p w14:paraId="727F3333" w14:textId="4CDD6073" w:rsidR="00C860BE" w:rsidRPr="00AC515C" w:rsidRDefault="00074E1A" w:rsidP="00C860BE">
      <w:pPr>
        <w:pStyle w:val="PKTpunkt"/>
      </w:pPr>
      <w:r w:rsidRPr="00AC515C">
        <w:t>1)</w:t>
      </w:r>
      <w:r w:rsidRPr="00AC515C">
        <w:tab/>
      </w:r>
      <w:r w:rsidR="00C3491B">
        <w:t>1160</w:t>
      </w:r>
      <w:r w:rsidRPr="00AC515C">
        <w:t xml:space="preserve"> MW – dla I kwartału;</w:t>
      </w:r>
    </w:p>
    <w:p w14:paraId="14DC2F08" w14:textId="77777777" w:rsidR="00C860BE" w:rsidRPr="00AC515C" w:rsidRDefault="00074E1A" w:rsidP="00C860BE">
      <w:pPr>
        <w:pStyle w:val="PKTpunkt"/>
      </w:pPr>
      <w:r w:rsidRPr="00AC515C">
        <w:t>2)</w:t>
      </w:r>
      <w:r w:rsidRPr="00AC515C">
        <w:tab/>
      </w:r>
      <w:r w:rsidR="006C27A2" w:rsidRPr="00AC515C">
        <w:t>1160</w:t>
      </w:r>
      <w:r w:rsidRPr="00AC515C">
        <w:t xml:space="preserve"> MW – dla II kwartału;</w:t>
      </w:r>
    </w:p>
    <w:p w14:paraId="5E04F0FD" w14:textId="5979D19E" w:rsidR="00C860BE" w:rsidRPr="00AC515C" w:rsidRDefault="00074E1A" w:rsidP="00C860BE">
      <w:pPr>
        <w:pStyle w:val="PKTpunkt"/>
      </w:pPr>
      <w:r w:rsidRPr="00AC515C">
        <w:t>3)</w:t>
      </w:r>
      <w:r w:rsidRPr="00AC515C">
        <w:tab/>
      </w:r>
      <w:r w:rsidR="00C3491B">
        <w:t>1160</w:t>
      </w:r>
      <w:r w:rsidRPr="00AC515C">
        <w:t xml:space="preserve"> MW – dla III kwartału;</w:t>
      </w:r>
    </w:p>
    <w:p w14:paraId="7E9E04C1" w14:textId="130F3758" w:rsidR="00C860BE" w:rsidRPr="00AC515C" w:rsidRDefault="00074E1A" w:rsidP="00C860BE">
      <w:pPr>
        <w:pStyle w:val="PKTpunkt"/>
      </w:pPr>
      <w:r w:rsidRPr="00AC515C">
        <w:t>4)</w:t>
      </w:r>
      <w:r w:rsidRPr="00AC515C">
        <w:tab/>
      </w:r>
      <w:r w:rsidR="00C3491B">
        <w:t>1252</w:t>
      </w:r>
      <w:r w:rsidRPr="00AC515C">
        <w:t xml:space="preserve"> MW – dla IV kwartału.</w:t>
      </w:r>
    </w:p>
    <w:p w14:paraId="0F296111" w14:textId="1041AAC4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13</w:t>
      </w:r>
      <w:r w:rsidRPr="00AC515C">
        <w:t>. Cena wejścia na rynek nowej jednostki wytwórczej, odzwierciedlająca alternatywny koszt pozyskania mocy przez operatora przez budowę jednostki wytwórczej o najniższych operacyjnych i kapitałowych kosztach stałych</w:t>
      </w:r>
      <w:r w:rsidR="00332536" w:rsidRPr="00AC515C">
        <w:t>,</w:t>
      </w:r>
      <w:r w:rsidRPr="00AC515C">
        <w:t xml:space="preserve"> </w:t>
      </w:r>
      <w:r w:rsidR="00015BCD">
        <w:t xml:space="preserve">z uwzględnieniem potencjalnej marży na sprzedaży energii elektrycznej i świadczeniu usług systemowych, o których mowa w art. 9c ust. 2 pkt 8 ustawy z dnia 10 kwietnia 1997 r. </w:t>
      </w:r>
      <w:r w:rsidR="00D16173" w:rsidRPr="00D16173">
        <w:t>–</w:t>
      </w:r>
      <w:r w:rsidR="00015BCD">
        <w:t xml:space="preserve"> Prawo energetyczne,</w:t>
      </w:r>
      <w:r w:rsidR="00015BCD" w:rsidRPr="00AC515C">
        <w:t xml:space="preserve"> </w:t>
      </w:r>
      <w:r w:rsidRPr="00AC515C">
        <w:t>w aukcjach dodatkowych dla okresu dostaw przypadającego na rok 202</w:t>
      </w:r>
      <w:r w:rsidR="006C27A2" w:rsidRPr="00AC515C">
        <w:t>2</w:t>
      </w:r>
      <w:r w:rsidRPr="00AC515C">
        <w:t xml:space="preserve">, wynosi dla wszystkich kwartałów </w:t>
      </w:r>
      <w:r w:rsidR="006C27A2" w:rsidRPr="00AC515C">
        <w:t>336</w:t>
      </w:r>
      <w:r w:rsidRPr="00AC515C">
        <w:t> zł/</w:t>
      </w:r>
      <w:proofErr w:type="spellStart"/>
      <w:r w:rsidRPr="00AC515C">
        <w:t>kW.</w:t>
      </w:r>
      <w:proofErr w:type="spellEnd"/>
    </w:p>
    <w:p w14:paraId="417D93E1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14.</w:t>
      </w:r>
      <w:r w:rsidRPr="00AC515C">
        <w:t xml:space="preserve"> Współczynnik zwiększający cenę, o której mowa w § 13, służący do wyznaczenia ceny maksymalnej obowiązującej w aukcjach dodatkowych dla okresu d</w:t>
      </w:r>
      <w:r w:rsidR="00332536" w:rsidRPr="00AC515C">
        <w:t>ostaw przypadającego na rok 2022</w:t>
      </w:r>
      <w:r w:rsidRPr="00AC515C">
        <w:t>, wynosi dla wszystkich kwartałów 1,0.</w:t>
      </w:r>
    </w:p>
    <w:p w14:paraId="099EFC41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15.</w:t>
      </w:r>
      <w:r w:rsidRPr="00AC515C">
        <w:t xml:space="preserve"> Parametr wyznaczający wielkość mocy poniżej zapotrzebowania na moc w aukcjach dodatkowych, dla której cena osiąga wartość maksymalną uwzględniającą współczynnik, o którym mowa w § 14, dla okresu dostaw przypadającego na rok 202</w:t>
      </w:r>
      <w:r w:rsidR="006C27A2" w:rsidRPr="00AC515C">
        <w:t>2</w:t>
      </w:r>
      <w:r w:rsidRPr="00AC515C">
        <w:t xml:space="preserve"> wynosi:</w:t>
      </w:r>
    </w:p>
    <w:p w14:paraId="333FF11A" w14:textId="1D1B4106" w:rsidR="00C860BE" w:rsidRPr="00AC515C" w:rsidRDefault="00AC515C" w:rsidP="00C860BE">
      <w:pPr>
        <w:pStyle w:val="PKTpunkt"/>
      </w:pPr>
      <w:r w:rsidRPr="00AC515C">
        <w:t>1)</w:t>
      </w:r>
      <w:r w:rsidRPr="00AC515C">
        <w:tab/>
      </w:r>
      <w:r w:rsidR="00C3491B">
        <w:t>52,21</w:t>
      </w:r>
      <w:r w:rsidR="00074E1A" w:rsidRPr="00AC515C">
        <w:t>% – dla I kwartału;</w:t>
      </w:r>
    </w:p>
    <w:p w14:paraId="371141B8" w14:textId="72013645" w:rsidR="00C860BE" w:rsidRPr="00AC515C" w:rsidRDefault="006C27A2" w:rsidP="00C860BE">
      <w:pPr>
        <w:pStyle w:val="PKTpunkt"/>
      </w:pPr>
      <w:r w:rsidRPr="00AC515C">
        <w:lastRenderedPageBreak/>
        <w:t>2)</w:t>
      </w:r>
      <w:r w:rsidRPr="00AC515C">
        <w:tab/>
      </w:r>
      <w:r w:rsidR="00C3491B">
        <w:t>52,21</w:t>
      </w:r>
      <w:r w:rsidR="00074E1A" w:rsidRPr="00AC515C">
        <w:t>% – dla II kwartału;</w:t>
      </w:r>
    </w:p>
    <w:p w14:paraId="2C13106E" w14:textId="11E2FA0D" w:rsidR="00C860BE" w:rsidRPr="00AC515C" w:rsidRDefault="006C27A2" w:rsidP="00C860BE">
      <w:pPr>
        <w:pStyle w:val="PKTpunkt"/>
      </w:pPr>
      <w:r w:rsidRPr="00AC515C">
        <w:t>3)</w:t>
      </w:r>
      <w:r w:rsidRPr="00AC515C">
        <w:tab/>
      </w:r>
      <w:r w:rsidR="00C3491B">
        <w:t>52,21</w:t>
      </w:r>
      <w:r w:rsidR="00074E1A" w:rsidRPr="00AC515C">
        <w:t>% – dla III kwartału;</w:t>
      </w:r>
    </w:p>
    <w:p w14:paraId="726A049B" w14:textId="3451D9D4" w:rsidR="00C860BE" w:rsidRPr="00AC515C" w:rsidRDefault="006C27A2" w:rsidP="00C860BE">
      <w:pPr>
        <w:pStyle w:val="PKTpunkt"/>
      </w:pPr>
      <w:r w:rsidRPr="00AC515C">
        <w:t>4)</w:t>
      </w:r>
      <w:r w:rsidRPr="00AC515C">
        <w:tab/>
      </w:r>
      <w:r w:rsidR="00C3491B">
        <w:t>48,37</w:t>
      </w:r>
      <w:r w:rsidR="00074E1A" w:rsidRPr="00AC515C">
        <w:t>% – dla IV kwartału.</w:t>
      </w:r>
    </w:p>
    <w:p w14:paraId="683F946F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16.</w:t>
      </w:r>
      <w:r w:rsidRPr="00AC515C">
        <w:t xml:space="preserve"> Parametr wyznaczający wielkość mocy ponad zapotrzebowanie na moc w aukcjach dodatkowych, dla której cena osiąga wartość minimalną równą 0,01 zł/kW/miesiąc, dla okresu dostaw przypadającego na rok 202</w:t>
      </w:r>
      <w:r w:rsidR="006C27A2" w:rsidRPr="00AC515C">
        <w:t>2</w:t>
      </w:r>
      <w:r w:rsidRPr="00AC515C">
        <w:t xml:space="preserve"> wynosi:</w:t>
      </w:r>
    </w:p>
    <w:p w14:paraId="6A2E5657" w14:textId="56E0E924" w:rsidR="00C860BE" w:rsidRPr="00AC515C" w:rsidRDefault="00AC515C" w:rsidP="00C860BE">
      <w:pPr>
        <w:pStyle w:val="PKTpunkt"/>
      </w:pPr>
      <w:r w:rsidRPr="00AC515C">
        <w:t>1)</w:t>
      </w:r>
      <w:r w:rsidRPr="00AC515C">
        <w:tab/>
      </w:r>
      <w:r w:rsidR="00C3491B">
        <w:t>57,60</w:t>
      </w:r>
      <w:r w:rsidR="00074E1A" w:rsidRPr="00AC515C">
        <w:t>% – dla I kwartału;</w:t>
      </w:r>
      <w:r w:rsidR="00074E1A" w:rsidRPr="00AC515C">
        <w:tab/>
      </w:r>
      <w:r w:rsidR="00074E1A" w:rsidRPr="00AC515C">
        <w:tab/>
      </w:r>
      <w:r w:rsidR="00074E1A" w:rsidRPr="00AC515C">
        <w:tab/>
      </w:r>
    </w:p>
    <w:p w14:paraId="0EB336A7" w14:textId="2CF1458A" w:rsidR="00C860BE" w:rsidRPr="00AC515C" w:rsidRDefault="006C27A2" w:rsidP="00C860BE">
      <w:pPr>
        <w:pStyle w:val="PKTpunkt"/>
      </w:pPr>
      <w:r w:rsidRPr="00AC515C">
        <w:t>2)</w:t>
      </w:r>
      <w:r w:rsidRPr="00AC515C">
        <w:tab/>
      </w:r>
      <w:r w:rsidR="00C3491B">
        <w:t>57,60</w:t>
      </w:r>
      <w:r w:rsidR="00074E1A" w:rsidRPr="00AC515C">
        <w:t>% – dla II kwartału;</w:t>
      </w:r>
    </w:p>
    <w:p w14:paraId="0C445F7D" w14:textId="40E104DE" w:rsidR="00C860BE" w:rsidRPr="00AC515C" w:rsidRDefault="006C27A2" w:rsidP="00C860BE">
      <w:pPr>
        <w:pStyle w:val="PKTpunkt"/>
      </w:pPr>
      <w:r w:rsidRPr="00AC515C">
        <w:t>3)</w:t>
      </w:r>
      <w:r w:rsidRPr="00AC515C">
        <w:tab/>
      </w:r>
      <w:r w:rsidR="00C3491B">
        <w:t>57,60</w:t>
      </w:r>
      <w:r w:rsidR="00074E1A" w:rsidRPr="00AC515C">
        <w:t>% – dla III kwartału;</w:t>
      </w:r>
    </w:p>
    <w:p w14:paraId="36100871" w14:textId="66EED3A8" w:rsidR="00C860BE" w:rsidRPr="00AC515C" w:rsidRDefault="006C27A2" w:rsidP="00C860BE">
      <w:pPr>
        <w:pStyle w:val="PKTpunkt"/>
      </w:pPr>
      <w:r w:rsidRPr="00AC515C">
        <w:t>4)</w:t>
      </w:r>
      <w:r w:rsidRPr="00AC515C">
        <w:tab/>
      </w:r>
      <w:r w:rsidR="00C3491B">
        <w:t>53,36</w:t>
      </w:r>
      <w:r w:rsidR="00074E1A" w:rsidRPr="00AC515C">
        <w:t>% – dla IV kwartału.</w:t>
      </w:r>
    </w:p>
    <w:p w14:paraId="20209C36" w14:textId="383F2D93" w:rsidR="00C860BE" w:rsidRPr="00AC515C" w:rsidRDefault="00074E1A" w:rsidP="00C860BE">
      <w:pPr>
        <w:pStyle w:val="ARTartustawynprozporzdzenia"/>
        <w:rPr>
          <w:rStyle w:val="Ppogrubienie"/>
        </w:rPr>
      </w:pPr>
      <w:r w:rsidRPr="00AC515C">
        <w:rPr>
          <w:rStyle w:val="Ppogrubienie"/>
        </w:rPr>
        <w:t>§ 17.</w:t>
      </w:r>
      <w:r w:rsidRPr="00AC515C">
        <w:t xml:space="preserve"> Cena maksymalna określona dla </w:t>
      </w:r>
      <w:proofErr w:type="spellStart"/>
      <w:r w:rsidRPr="00AC515C">
        <w:t>cenobiorcy</w:t>
      </w:r>
      <w:proofErr w:type="spellEnd"/>
      <w:r w:rsidRPr="00AC515C">
        <w:t>, wyznaczona na podstawie kapitałowych i operacyjnych kosztów stałych</w:t>
      </w:r>
      <w:r w:rsidR="00332536" w:rsidRPr="00AC515C">
        <w:t>,</w:t>
      </w:r>
      <w:r w:rsidRPr="00AC515C">
        <w:t xml:space="preserve"> w aukcjach dodatkowych dla okresu d</w:t>
      </w:r>
      <w:r w:rsidR="006C27A2" w:rsidRPr="00AC515C">
        <w:t>ostaw przypadającego na rok 2022 wynosi 176</w:t>
      </w:r>
      <w:r w:rsidRPr="00AC515C">
        <w:t> zł/</w:t>
      </w:r>
      <w:proofErr w:type="spellStart"/>
      <w:r w:rsidRPr="00AC515C">
        <w:t>kW.</w:t>
      </w:r>
      <w:proofErr w:type="spellEnd"/>
    </w:p>
    <w:p w14:paraId="1E159032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18. </w:t>
      </w:r>
      <w:r w:rsidRPr="00AC515C">
        <w:t>Maksymalna liczba rund aukcji dodatkowych dla okresu d</w:t>
      </w:r>
      <w:r w:rsidR="006C27A2" w:rsidRPr="00AC515C">
        <w:t>ostaw przypadającego na rok 2022</w:t>
      </w:r>
      <w:r w:rsidRPr="00AC515C">
        <w:t xml:space="preserve"> wynosi 12.</w:t>
      </w:r>
    </w:p>
    <w:p w14:paraId="3C499A11" w14:textId="6AC42B8E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19. </w:t>
      </w:r>
      <w:r w:rsidRPr="00AC515C">
        <w:t>Korekcyjne współczynniki dyspozycyjności dla poszczególnych grup technologii dla aukcj</w:t>
      </w:r>
      <w:r w:rsidR="006C27A2" w:rsidRPr="00AC515C">
        <w:t xml:space="preserve">i dodatkowych </w:t>
      </w:r>
      <w:r w:rsidR="008E5006" w:rsidRPr="008E5006">
        <w:t xml:space="preserve">dla okresu dostaw przypadającego na rok </w:t>
      </w:r>
      <w:r w:rsidR="006C27A2" w:rsidRPr="00AC515C">
        <w:t>2022</w:t>
      </w:r>
      <w:r w:rsidRPr="00AC515C">
        <w:t xml:space="preserve"> określa się na poziomie:</w:t>
      </w:r>
    </w:p>
    <w:p w14:paraId="6EA85816" w14:textId="02C7C78C" w:rsidR="00C860BE" w:rsidRPr="00AC515C" w:rsidRDefault="00074E1A" w:rsidP="00C860BE">
      <w:pPr>
        <w:pStyle w:val="PKTpunkt"/>
      </w:pPr>
      <w:r w:rsidRPr="00AC515C">
        <w:t>1)</w:t>
      </w:r>
      <w:r w:rsidRPr="00AC515C">
        <w:tab/>
        <w:t xml:space="preserve">91,54% </w:t>
      </w:r>
      <w:r w:rsidR="008E5006" w:rsidRPr="00AC515C">
        <w:t>–</w:t>
      </w:r>
      <w:r w:rsidRPr="00AC515C">
        <w:t xml:space="preserve"> dla turbin parowych, układów turbin parowych, turbin powietrznych, ogniw paliwowych oraz organicznego cyklu </w:t>
      </w:r>
      <w:proofErr w:type="spellStart"/>
      <w:r w:rsidRPr="00AC515C">
        <w:t>Rankine'a</w:t>
      </w:r>
      <w:proofErr w:type="spellEnd"/>
      <w:r w:rsidRPr="00AC515C">
        <w:t>;</w:t>
      </w:r>
    </w:p>
    <w:p w14:paraId="4B4842FF" w14:textId="453EFAFC" w:rsidR="00C860BE" w:rsidRPr="00AC515C" w:rsidRDefault="00074E1A" w:rsidP="00C860BE">
      <w:pPr>
        <w:pStyle w:val="PKTpunkt"/>
      </w:pPr>
      <w:r w:rsidRPr="00AC515C">
        <w:t>2)</w:t>
      </w:r>
      <w:r w:rsidRPr="00AC515C">
        <w:tab/>
        <w:t xml:space="preserve">91,80% </w:t>
      </w:r>
      <w:r w:rsidR="008E5006" w:rsidRPr="00AC515C">
        <w:t>–</w:t>
      </w:r>
      <w:r w:rsidRPr="00AC515C">
        <w:t xml:space="preserve"> dla układów gazowo-parowych;</w:t>
      </w:r>
    </w:p>
    <w:p w14:paraId="2E3F05FB" w14:textId="1C2F6713" w:rsidR="00C860BE" w:rsidRPr="00AC515C" w:rsidRDefault="00074E1A" w:rsidP="00C860BE">
      <w:pPr>
        <w:pStyle w:val="PKTpunkt"/>
      </w:pPr>
      <w:r w:rsidRPr="00AC515C">
        <w:t>3)</w:t>
      </w:r>
      <w:r w:rsidRPr="00AC515C">
        <w:tab/>
        <w:t xml:space="preserve">93,21% </w:t>
      </w:r>
      <w:r w:rsidR="008E5006" w:rsidRPr="00AC515C">
        <w:t>–</w:t>
      </w:r>
      <w:r w:rsidRPr="00AC515C">
        <w:t xml:space="preserve"> dla turbin gazowych pracujących w cyklu prostym oraz silników tłokowych;</w:t>
      </w:r>
    </w:p>
    <w:p w14:paraId="42D543C0" w14:textId="6191FFFE" w:rsidR="00C860BE" w:rsidRPr="00AC515C" w:rsidRDefault="00074E1A" w:rsidP="00C860BE">
      <w:pPr>
        <w:pStyle w:val="PKTpunkt"/>
      </w:pPr>
      <w:r w:rsidRPr="00AC515C">
        <w:t>4)</w:t>
      </w:r>
      <w:r w:rsidRPr="00AC515C">
        <w:tab/>
        <w:t xml:space="preserve">10,94% </w:t>
      </w:r>
      <w:r w:rsidR="008E5006" w:rsidRPr="00AC515C">
        <w:t>–</w:t>
      </w:r>
      <w:r w:rsidRPr="00AC515C">
        <w:t xml:space="preserve"> dla turbin wiatrowych pracujących na lądzie;</w:t>
      </w:r>
    </w:p>
    <w:p w14:paraId="0A95073A" w14:textId="3916A70A" w:rsidR="00C860BE" w:rsidRPr="00AC515C" w:rsidRDefault="00074E1A" w:rsidP="00C860BE">
      <w:pPr>
        <w:pStyle w:val="PKTpunkt"/>
      </w:pPr>
      <w:r w:rsidRPr="00AC515C">
        <w:t>5)</w:t>
      </w:r>
      <w:r w:rsidRPr="00AC515C">
        <w:tab/>
        <w:t xml:space="preserve">44,39% </w:t>
      </w:r>
      <w:r w:rsidR="008E5006" w:rsidRPr="00AC515C">
        <w:t>–</w:t>
      </w:r>
      <w:r w:rsidRPr="00AC515C">
        <w:t xml:space="preserve"> dla elektrowni wodnych przepływowych;</w:t>
      </w:r>
    </w:p>
    <w:p w14:paraId="1242F3D2" w14:textId="3512F676" w:rsidR="00C860BE" w:rsidRPr="00AC515C" w:rsidRDefault="00074E1A" w:rsidP="00C860BE">
      <w:pPr>
        <w:pStyle w:val="PKTpunkt"/>
      </w:pPr>
      <w:r w:rsidRPr="00AC515C">
        <w:t>6)</w:t>
      </w:r>
      <w:r w:rsidRPr="00AC515C">
        <w:tab/>
        <w:t xml:space="preserve">97,61% </w:t>
      </w:r>
      <w:r w:rsidR="008E5006" w:rsidRPr="00AC515C">
        <w:t>–</w:t>
      </w:r>
      <w:r w:rsidRPr="00AC515C">
        <w:t xml:space="preserve"> dla elektrowni wodnych zbiornikowo-przepływowych, zbiornikowych z członem pompowym oraz zbiornikowo-przepływowych z członem pompowym;</w:t>
      </w:r>
    </w:p>
    <w:p w14:paraId="2D907829" w14:textId="3385DFD0" w:rsidR="00C860BE" w:rsidRPr="00AC515C" w:rsidRDefault="00074E1A" w:rsidP="00C860BE">
      <w:pPr>
        <w:pStyle w:val="PKTpunkt"/>
      </w:pPr>
      <w:r w:rsidRPr="00AC515C">
        <w:t>7)</w:t>
      </w:r>
      <w:r w:rsidRPr="00AC515C">
        <w:tab/>
        <w:t xml:space="preserve">2,07% </w:t>
      </w:r>
      <w:r w:rsidR="008E5006" w:rsidRPr="00AC515C">
        <w:t>–</w:t>
      </w:r>
      <w:r w:rsidRPr="00AC515C">
        <w:t xml:space="preserve"> dla elektrowni słonecznych;</w:t>
      </w:r>
    </w:p>
    <w:p w14:paraId="1A5E9191" w14:textId="31E80B53" w:rsidR="00C860BE" w:rsidRPr="00AC515C" w:rsidRDefault="00074E1A" w:rsidP="00C860BE">
      <w:pPr>
        <w:pStyle w:val="PKTpunkt"/>
      </w:pPr>
      <w:r w:rsidRPr="00AC515C">
        <w:t>8)</w:t>
      </w:r>
      <w:r w:rsidRPr="00AC515C">
        <w:tab/>
        <w:t xml:space="preserve">96,11% </w:t>
      </w:r>
      <w:r w:rsidR="008E5006" w:rsidRPr="00AC515C">
        <w:t>–</w:t>
      </w:r>
      <w:r w:rsidRPr="00AC515C">
        <w:t xml:space="preserve"> dla magazynów energii elektrycznej w postaci akumulatorów, kinetycznych zasobników energii i </w:t>
      </w:r>
      <w:proofErr w:type="spellStart"/>
      <w:r w:rsidRPr="00AC515C">
        <w:t>superkondensatorów</w:t>
      </w:r>
      <w:proofErr w:type="spellEnd"/>
      <w:r w:rsidRPr="00AC515C">
        <w:t>;</w:t>
      </w:r>
    </w:p>
    <w:p w14:paraId="390324E5" w14:textId="2E07440C" w:rsidR="00C860BE" w:rsidRPr="00AC515C" w:rsidRDefault="00074E1A" w:rsidP="00C860BE">
      <w:pPr>
        <w:pStyle w:val="PKTpunkt"/>
      </w:pPr>
      <w:r w:rsidRPr="00AC515C">
        <w:t>9)</w:t>
      </w:r>
      <w:r w:rsidRPr="00AC515C">
        <w:tab/>
        <w:t xml:space="preserve">87,76 % </w:t>
      </w:r>
      <w:r w:rsidR="008E5006" w:rsidRPr="00AC515C">
        <w:t>–</w:t>
      </w:r>
      <w:r w:rsidRPr="00AC515C">
        <w:t xml:space="preserve"> dla pozostałych rodzajów technologii.</w:t>
      </w:r>
    </w:p>
    <w:p w14:paraId="48AB2807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20. </w:t>
      </w:r>
      <w:r w:rsidRPr="00AC515C">
        <w:t xml:space="preserve">Maksymalne wolumeny obowiązków </w:t>
      </w:r>
      <w:proofErr w:type="spellStart"/>
      <w:r w:rsidRPr="00AC515C">
        <w:t>mocowych</w:t>
      </w:r>
      <w:proofErr w:type="spellEnd"/>
      <w:r w:rsidRPr="00AC515C">
        <w:t xml:space="preserve"> dla stref, o których mowa w art. 6 ust. 6 ustawy z dnia 8 grudnia 2017 r. o rynku mocy, na aukcjach dodatkowych dla okresu d</w:t>
      </w:r>
      <w:r w:rsidR="006C27A2" w:rsidRPr="00AC515C">
        <w:t>ostaw przypadającego na rok 2022</w:t>
      </w:r>
      <w:r w:rsidRPr="00AC515C">
        <w:t xml:space="preserve"> wynoszą dla </w:t>
      </w:r>
      <w:r w:rsidR="00332536" w:rsidRPr="00AC515C">
        <w:t>każdego kwartału</w:t>
      </w:r>
      <w:r w:rsidRPr="00AC515C">
        <w:t>:</w:t>
      </w:r>
    </w:p>
    <w:p w14:paraId="692B6F47" w14:textId="771DB504" w:rsidR="00C860BE" w:rsidRPr="00AC515C" w:rsidRDefault="00074E1A" w:rsidP="00103BE8">
      <w:pPr>
        <w:pStyle w:val="PKTpunkt"/>
      </w:pPr>
      <w:r w:rsidRPr="00AC515C">
        <w:lastRenderedPageBreak/>
        <w:t>1)</w:t>
      </w:r>
      <w:r w:rsidR="00103BE8">
        <w:tab/>
      </w:r>
      <w:r w:rsidRPr="00AC515C">
        <w:t>500 MW – dla strefy profilu synchronicznego;</w:t>
      </w:r>
    </w:p>
    <w:p w14:paraId="4258F5B9" w14:textId="751C810D" w:rsidR="00C860BE" w:rsidRPr="00AC515C" w:rsidRDefault="006C27A2" w:rsidP="00103BE8">
      <w:pPr>
        <w:pStyle w:val="PKTpunkt"/>
      </w:pPr>
      <w:r w:rsidRPr="00AC515C">
        <w:t>2)</w:t>
      </w:r>
      <w:r w:rsidR="00103BE8">
        <w:tab/>
      </w:r>
      <w:r w:rsidRPr="00AC515C">
        <w:t xml:space="preserve">258 </w:t>
      </w:r>
      <w:r w:rsidR="00074E1A" w:rsidRPr="00AC515C">
        <w:t>MW – dla Litwy;</w:t>
      </w:r>
    </w:p>
    <w:p w14:paraId="69D78881" w14:textId="651A2990" w:rsidR="00C860BE" w:rsidRPr="00AC515C" w:rsidRDefault="006C27A2" w:rsidP="00103BE8">
      <w:pPr>
        <w:pStyle w:val="PKTpunkt"/>
      </w:pPr>
      <w:r w:rsidRPr="00AC515C">
        <w:t>3)</w:t>
      </w:r>
      <w:r w:rsidR="00103BE8">
        <w:tab/>
      </w:r>
      <w:r w:rsidRPr="00AC515C">
        <w:t>402</w:t>
      </w:r>
      <w:r w:rsidR="00074E1A" w:rsidRPr="00AC515C">
        <w:t> MW – dla Szwecji.</w:t>
      </w:r>
    </w:p>
    <w:p w14:paraId="0C9CB5F3" w14:textId="77777777" w:rsidR="00C860BE" w:rsidRPr="0079054F" w:rsidRDefault="00074E1A" w:rsidP="0079054F">
      <w:pPr>
        <w:pStyle w:val="ROZDZODDZOZNoznaczenierozdziauluboddziau"/>
        <w:rPr>
          <w:rStyle w:val="Ppogrubienie"/>
          <w:b w:val="0"/>
        </w:rPr>
      </w:pPr>
      <w:r w:rsidRPr="0079054F">
        <w:rPr>
          <w:rStyle w:val="Ppogrubienie"/>
          <w:b w:val="0"/>
        </w:rPr>
        <w:t>Rozdział 3</w:t>
      </w:r>
    </w:p>
    <w:p w14:paraId="72FCF321" w14:textId="77777777" w:rsidR="00C860BE" w:rsidRPr="0079054F" w:rsidRDefault="00074E1A" w:rsidP="0079054F">
      <w:pPr>
        <w:pStyle w:val="ROZDZODDZPRZEDMprzedmiotregulacjirozdziauluboddziau"/>
        <w:rPr>
          <w:rStyle w:val="Ppogrubienie"/>
          <w:b/>
        </w:rPr>
      </w:pPr>
      <w:r w:rsidRPr="0079054F">
        <w:rPr>
          <w:rStyle w:val="Ppogrubienie"/>
          <w:b/>
        </w:rPr>
        <w:t>Przepis końcowy</w:t>
      </w:r>
    </w:p>
    <w:p w14:paraId="6D08409B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21.</w:t>
      </w:r>
      <w:r w:rsidRPr="00AC515C">
        <w:t xml:space="preserve"> Rozporządzenie wchodzi w życie z dniem następującym po dniu ogłoszenia.</w:t>
      </w:r>
    </w:p>
    <w:p w14:paraId="70A371D1" w14:textId="77777777" w:rsidR="00C860BE" w:rsidRPr="00AC515C" w:rsidRDefault="009933D2" w:rsidP="00C860BE">
      <w:pPr>
        <w:pStyle w:val="ARTartustawynprozporzdzenia"/>
      </w:pPr>
    </w:p>
    <w:p w14:paraId="49525457" w14:textId="77777777" w:rsidR="00C860BE" w:rsidRPr="00AC515C" w:rsidRDefault="00074E1A" w:rsidP="00C860BE">
      <w:pPr>
        <w:pStyle w:val="NIEARTTEKSTtekstnieartykuowanynppodstprawnarozplubpreambua"/>
      </w:pPr>
      <w:r w:rsidRPr="00AC515C">
        <w:tab/>
        <w:t xml:space="preserve">                                                                                        </w:t>
      </w:r>
      <w:r w:rsidRPr="00AC515C">
        <w:rPr>
          <w:rStyle w:val="Ppogrubienie"/>
        </w:rPr>
        <w:t xml:space="preserve">MINISTER </w:t>
      </w:r>
      <w:r w:rsidR="005D1F31" w:rsidRPr="00AC515C">
        <w:rPr>
          <w:rStyle w:val="Ppogrubienie"/>
        </w:rPr>
        <w:t>KLIMATU</w:t>
      </w:r>
    </w:p>
    <w:p w14:paraId="767A595B" w14:textId="433F70C6" w:rsidR="00E01C5D" w:rsidRDefault="009933D2" w:rsidP="00E01C5D"/>
    <w:p w14:paraId="73D627AE" w14:textId="14B80A26" w:rsidR="009461C8" w:rsidRDefault="009461C8" w:rsidP="00E01C5D"/>
    <w:p w14:paraId="736A01CF" w14:textId="77777777" w:rsidR="009461C8" w:rsidRPr="00AC515C" w:rsidRDefault="009461C8" w:rsidP="00E01C5D"/>
    <w:p w14:paraId="2AF378B3" w14:textId="77777777" w:rsidR="00460947" w:rsidRPr="00460947" w:rsidRDefault="00460947" w:rsidP="00460947">
      <w:r w:rsidRPr="00460947">
        <w:t>Za zgodność pod względem prawnym, legislacyjnym i redakcyjnym</w:t>
      </w:r>
    </w:p>
    <w:p w14:paraId="596A3D86" w14:textId="77777777" w:rsidR="00460947" w:rsidRPr="00460947" w:rsidRDefault="00460947" w:rsidP="00460947">
      <w:r w:rsidRPr="00460947">
        <w:t>Z up. Dyrektora Departamentu Prawnego</w:t>
      </w:r>
    </w:p>
    <w:p w14:paraId="5BC716FE" w14:textId="77777777" w:rsidR="00460947" w:rsidRPr="00460947" w:rsidRDefault="00460947" w:rsidP="00460947">
      <w:r w:rsidRPr="00460947">
        <w:t>w Ministerstwie Klimatu:</w:t>
      </w:r>
    </w:p>
    <w:p w14:paraId="7FC9FBE4" w14:textId="77777777" w:rsidR="00460947" w:rsidRPr="00460947" w:rsidRDefault="00460947" w:rsidP="00460947">
      <w:r w:rsidRPr="00460947">
        <w:t>Maciej Machaj</w:t>
      </w:r>
    </w:p>
    <w:p w14:paraId="02D15012" w14:textId="77777777" w:rsidR="00460947" w:rsidRPr="00460947" w:rsidRDefault="00460947" w:rsidP="00460947">
      <w:r w:rsidRPr="00460947">
        <w:t>Naczelnik Wydziału Obsługi Prawnej I</w:t>
      </w:r>
    </w:p>
    <w:p w14:paraId="4EC2EA66" w14:textId="32F967EE" w:rsidR="00261A16" w:rsidRPr="00AC515C" w:rsidRDefault="00460947" w:rsidP="00460947">
      <w:r w:rsidRPr="00460947">
        <w:t>(- podpisano kwalifikowanym podpisem elektronicznym)</w:t>
      </w:r>
    </w:p>
    <w:sectPr w:rsidR="00261A16" w:rsidRPr="00AC515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853B8" w14:textId="77777777" w:rsidR="009933D2" w:rsidRDefault="009933D2">
      <w:pPr>
        <w:spacing w:line="240" w:lineRule="auto"/>
      </w:pPr>
      <w:r>
        <w:separator/>
      </w:r>
    </w:p>
  </w:endnote>
  <w:endnote w:type="continuationSeparator" w:id="0">
    <w:p w14:paraId="686F7567" w14:textId="77777777" w:rsidR="009933D2" w:rsidRDefault="00993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92FA8" w14:textId="77777777" w:rsidR="009933D2" w:rsidRDefault="009933D2">
      <w:r>
        <w:separator/>
      </w:r>
    </w:p>
  </w:footnote>
  <w:footnote w:type="continuationSeparator" w:id="0">
    <w:p w14:paraId="2AF6FCAE" w14:textId="77777777" w:rsidR="009933D2" w:rsidRDefault="009933D2">
      <w:r>
        <w:continuationSeparator/>
      </w:r>
    </w:p>
  </w:footnote>
  <w:footnote w:id="1">
    <w:p w14:paraId="797B5C77" w14:textId="20F0D765" w:rsidR="00C860BE" w:rsidRDefault="00074E1A" w:rsidP="00C860B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tab/>
      </w:r>
      <w:r w:rsidR="007511E8">
        <w:t>M</w:t>
      </w:r>
      <w:r w:rsidR="007511E8" w:rsidRPr="007511E8">
        <w:t xml:space="preserve">inister Klimatu kieruje działem administracji rządowej </w:t>
      </w:r>
      <w:r w:rsidR="008E5006" w:rsidRPr="00AC515C">
        <w:t>–</w:t>
      </w:r>
      <w:r w:rsidR="007511E8" w:rsidRPr="007511E8">
        <w:t xml:space="preserve"> energia</w:t>
      </w:r>
      <w:r w:rsidR="00D16173">
        <w:t>,</w:t>
      </w:r>
      <w:r w:rsidR="007511E8" w:rsidRPr="007511E8">
        <w:t xml:space="preserve"> na podstawie § 1 ust. 2 pkt 1 rozporządzenia Prezesa Rady Ministrów z dnia 20 marca 2020 r. w sprawie szczegółowego zakresu działania Ministra Klimatu (Dz. U. poz. 495).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3EE8" w14:textId="750CA0B1" w:rsidR="00CC3E3D" w:rsidRPr="00B371CC" w:rsidRDefault="00074E1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53064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B36254EA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212C0E3C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69928698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15081D2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79B235DC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240E79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A348AF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7F82197E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73C844D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CB66A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D49F1C" w:tentative="1">
      <w:start w:val="1"/>
      <w:numFmt w:val="lowerLetter"/>
      <w:lvlText w:val="%2."/>
      <w:lvlJc w:val="left"/>
      <w:pPr>
        <w:ind w:left="1440" w:hanging="360"/>
      </w:pPr>
    </w:lvl>
    <w:lvl w:ilvl="2" w:tplc="883E5A6C" w:tentative="1">
      <w:start w:val="1"/>
      <w:numFmt w:val="lowerRoman"/>
      <w:lvlText w:val="%3."/>
      <w:lvlJc w:val="right"/>
      <w:pPr>
        <w:ind w:left="2160" w:hanging="180"/>
      </w:pPr>
    </w:lvl>
    <w:lvl w:ilvl="3" w:tplc="441C5668" w:tentative="1">
      <w:start w:val="1"/>
      <w:numFmt w:val="decimal"/>
      <w:lvlText w:val="%4."/>
      <w:lvlJc w:val="left"/>
      <w:pPr>
        <w:ind w:left="2880" w:hanging="360"/>
      </w:pPr>
    </w:lvl>
    <w:lvl w:ilvl="4" w:tplc="69D80BE2" w:tentative="1">
      <w:start w:val="1"/>
      <w:numFmt w:val="lowerLetter"/>
      <w:lvlText w:val="%5."/>
      <w:lvlJc w:val="left"/>
      <w:pPr>
        <w:ind w:left="3600" w:hanging="360"/>
      </w:pPr>
    </w:lvl>
    <w:lvl w:ilvl="5" w:tplc="4BA442B8" w:tentative="1">
      <w:start w:val="1"/>
      <w:numFmt w:val="lowerRoman"/>
      <w:lvlText w:val="%6."/>
      <w:lvlJc w:val="right"/>
      <w:pPr>
        <w:ind w:left="4320" w:hanging="180"/>
      </w:pPr>
    </w:lvl>
    <w:lvl w:ilvl="6" w:tplc="038A4738" w:tentative="1">
      <w:start w:val="1"/>
      <w:numFmt w:val="decimal"/>
      <w:lvlText w:val="%7."/>
      <w:lvlJc w:val="left"/>
      <w:pPr>
        <w:ind w:left="5040" w:hanging="360"/>
      </w:pPr>
    </w:lvl>
    <w:lvl w:ilvl="7" w:tplc="C546B1FA" w:tentative="1">
      <w:start w:val="1"/>
      <w:numFmt w:val="lowerLetter"/>
      <w:lvlText w:val="%8."/>
      <w:lvlJc w:val="left"/>
      <w:pPr>
        <w:ind w:left="5760" w:hanging="360"/>
      </w:pPr>
    </w:lvl>
    <w:lvl w:ilvl="8" w:tplc="37D6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FB86078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3112C5CC" w:tentative="1">
      <w:start w:val="1"/>
      <w:numFmt w:val="lowerLetter"/>
      <w:lvlText w:val="%2."/>
      <w:lvlJc w:val="left"/>
      <w:pPr>
        <w:ind w:left="2463" w:hanging="360"/>
      </w:pPr>
    </w:lvl>
    <w:lvl w:ilvl="2" w:tplc="9EEAEB5C" w:tentative="1">
      <w:start w:val="1"/>
      <w:numFmt w:val="lowerRoman"/>
      <w:lvlText w:val="%3."/>
      <w:lvlJc w:val="right"/>
      <w:pPr>
        <w:ind w:left="3183" w:hanging="180"/>
      </w:pPr>
    </w:lvl>
    <w:lvl w:ilvl="3" w:tplc="B562E450" w:tentative="1">
      <w:start w:val="1"/>
      <w:numFmt w:val="decimal"/>
      <w:lvlText w:val="%4."/>
      <w:lvlJc w:val="left"/>
      <w:pPr>
        <w:ind w:left="3903" w:hanging="360"/>
      </w:pPr>
    </w:lvl>
    <w:lvl w:ilvl="4" w:tplc="82C4263E" w:tentative="1">
      <w:start w:val="1"/>
      <w:numFmt w:val="lowerLetter"/>
      <w:lvlText w:val="%5."/>
      <w:lvlJc w:val="left"/>
      <w:pPr>
        <w:ind w:left="4623" w:hanging="360"/>
      </w:pPr>
    </w:lvl>
    <w:lvl w:ilvl="5" w:tplc="8CD2F104" w:tentative="1">
      <w:start w:val="1"/>
      <w:numFmt w:val="lowerRoman"/>
      <w:lvlText w:val="%6."/>
      <w:lvlJc w:val="right"/>
      <w:pPr>
        <w:ind w:left="5343" w:hanging="180"/>
      </w:pPr>
    </w:lvl>
    <w:lvl w:ilvl="6" w:tplc="BEC8A630" w:tentative="1">
      <w:start w:val="1"/>
      <w:numFmt w:val="decimal"/>
      <w:lvlText w:val="%7."/>
      <w:lvlJc w:val="left"/>
      <w:pPr>
        <w:ind w:left="6063" w:hanging="360"/>
      </w:pPr>
    </w:lvl>
    <w:lvl w:ilvl="7" w:tplc="2862AB54" w:tentative="1">
      <w:start w:val="1"/>
      <w:numFmt w:val="lowerLetter"/>
      <w:lvlText w:val="%8."/>
      <w:lvlJc w:val="left"/>
      <w:pPr>
        <w:ind w:left="6783" w:hanging="360"/>
      </w:pPr>
    </w:lvl>
    <w:lvl w:ilvl="8" w:tplc="493C0DB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77185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50814D2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2A44C67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4CE4235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4F562D3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04E0AB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32DC73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7FADF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ECB47C9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8636274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C94E3AA6" w:tentative="1">
      <w:start w:val="1"/>
      <w:numFmt w:val="lowerLetter"/>
      <w:lvlText w:val="%2."/>
      <w:lvlJc w:val="left"/>
      <w:pPr>
        <w:ind w:left="1440" w:hanging="360"/>
      </w:pPr>
    </w:lvl>
    <w:lvl w:ilvl="2" w:tplc="84226D40" w:tentative="1">
      <w:start w:val="1"/>
      <w:numFmt w:val="lowerRoman"/>
      <w:lvlText w:val="%3."/>
      <w:lvlJc w:val="right"/>
      <w:pPr>
        <w:ind w:left="2160" w:hanging="180"/>
      </w:pPr>
    </w:lvl>
    <w:lvl w:ilvl="3" w:tplc="9F0C0F1E" w:tentative="1">
      <w:start w:val="1"/>
      <w:numFmt w:val="decimal"/>
      <w:lvlText w:val="%4."/>
      <w:lvlJc w:val="left"/>
      <w:pPr>
        <w:ind w:left="2880" w:hanging="360"/>
      </w:pPr>
    </w:lvl>
    <w:lvl w:ilvl="4" w:tplc="341C9B68" w:tentative="1">
      <w:start w:val="1"/>
      <w:numFmt w:val="lowerLetter"/>
      <w:lvlText w:val="%5."/>
      <w:lvlJc w:val="left"/>
      <w:pPr>
        <w:ind w:left="3600" w:hanging="360"/>
      </w:pPr>
    </w:lvl>
    <w:lvl w:ilvl="5" w:tplc="6AA84BAE" w:tentative="1">
      <w:start w:val="1"/>
      <w:numFmt w:val="lowerRoman"/>
      <w:lvlText w:val="%6."/>
      <w:lvlJc w:val="right"/>
      <w:pPr>
        <w:ind w:left="4320" w:hanging="180"/>
      </w:pPr>
    </w:lvl>
    <w:lvl w:ilvl="6" w:tplc="A85C6F44" w:tentative="1">
      <w:start w:val="1"/>
      <w:numFmt w:val="decimal"/>
      <w:lvlText w:val="%7."/>
      <w:lvlJc w:val="left"/>
      <w:pPr>
        <w:ind w:left="5040" w:hanging="360"/>
      </w:pPr>
    </w:lvl>
    <w:lvl w:ilvl="7" w:tplc="196A5B46" w:tentative="1">
      <w:start w:val="1"/>
      <w:numFmt w:val="lowerLetter"/>
      <w:lvlText w:val="%8."/>
      <w:lvlJc w:val="left"/>
      <w:pPr>
        <w:ind w:left="5760" w:hanging="360"/>
      </w:pPr>
    </w:lvl>
    <w:lvl w:ilvl="8" w:tplc="F0EE8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FE96716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2BA6CFF4" w:tentative="1">
      <w:start w:val="1"/>
      <w:numFmt w:val="lowerLetter"/>
      <w:lvlText w:val="%2."/>
      <w:lvlJc w:val="left"/>
      <w:pPr>
        <w:ind w:left="3348" w:hanging="360"/>
      </w:pPr>
    </w:lvl>
    <w:lvl w:ilvl="2" w:tplc="3F4CDBEA" w:tentative="1">
      <w:start w:val="1"/>
      <w:numFmt w:val="lowerRoman"/>
      <w:lvlText w:val="%3."/>
      <w:lvlJc w:val="right"/>
      <w:pPr>
        <w:ind w:left="4068" w:hanging="180"/>
      </w:pPr>
    </w:lvl>
    <w:lvl w:ilvl="3" w:tplc="3102736E" w:tentative="1">
      <w:start w:val="1"/>
      <w:numFmt w:val="decimal"/>
      <w:lvlText w:val="%4."/>
      <w:lvlJc w:val="left"/>
      <w:pPr>
        <w:ind w:left="4788" w:hanging="360"/>
      </w:pPr>
    </w:lvl>
    <w:lvl w:ilvl="4" w:tplc="BAC8227A" w:tentative="1">
      <w:start w:val="1"/>
      <w:numFmt w:val="lowerLetter"/>
      <w:lvlText w:val="%5."/>
      <w:lvlJc w:val="left"/>
      <w:pPr>
        <w:ind w:left="5508" w:hanging="360"/>
      </w:pPr>
    </w:lvl>
    <w:lvl w:ilvl="5" w:tplc="FC3E70F0" w:tentative="1">
      <w:start w:val="1"/>
      <w:numFmt w:val="lowerRoman"/>
      <w:lvlText w:val="%6."/>
      <w:lvlJc w:val="right"/>
      <w:pPr>
        <w:ind w:left="6228" w:hanging="180"/>
      </w:pPr>
    </w:lvl>
    <w:lvl w:ilvl="6" w:tplc="06EC06A0" w:tentative="1">
      <w:start w:val="1"/>
      <w:numFmt w:val="decimal"/>
      <w:lvlText w:val="%7."/>
      <w:lvlJc w:val="left"/>
      <w:pPr>
        <w:ind w:left="6948" w:hanging="360"/>
      </w:pPr>
    </w:lvl>
    <w:lvl w:ilvl="7" w:tplc="96B64CF2" w:tentative="1">
      <w:start w:val="1"/>
      <w:numFmt w:val="lowerLetter"/>
      <w:lvlText w:val="%8."/>
      <w:lvlJc w:val="left"/>
      <w:pPr>
        <w:ind w:left="7668" w:hanging="360"/>
      </w:pPr>
    </w:lvl>
    <w:lvl w:ilvl="8" w:tplc="6700FC8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070E1296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4A5E7EA0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61428A1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9D02F1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D284A23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5F44105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430C9B82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022563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B8D0A3C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3BA0DCFE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B67C5FD2" w:tentative="1">
      <w:start w:val="1"/>
      <w:numFmt w:val="lowerLetter"/>
      <w:lvlText w:val="%2."/>
      <w:lvlJc w:val="left"/>
      <w:pPr>
        <w:ind w:left="2463" w:hanging="360"/>
      </w:pPr>
    </w:lvl>
    <w:lvl w:ilvl="2" w:tplc="86C0FC38" w:tentative="1">
      <w:start w:val="1"/>
      <w:numFmt w:val="lowerRoman"/>
      <w:lvlText w:val="%3."/>
      <w:lvlJc w:val="right"/>
      <w:pPr>
        <w:ind w:left="3183" w:hanging="180"/>
      </w:pPr>
    </w:lvl>
    <w:lvl w:ilvl="3" w:tplc="929E3B0C" w:tentative="1">
      <w:start w:val="1"/>
      <w:numFmt w:val="decimal"/>
      <w:lvlText w:val="%4."/>
      <w:lvlJc w:val="left"/>
      <w:pPr>
        <w:ind w:left="3903" w:hanging="360"/>
      </w:pPr>
    </w:lvl>
    <w:lvl w:ilvl="4" w:tplc="8D4AE66E" w:tentative="1">
      <w:start w:val="1"/>
      <w:numFmt w:val="lowerLetter"/>
      <w:lvlText w:val="%5."/>
      <w:lvlJc w:val="left"/>
      <w:pPr>
        <w:ind w:left="4623" w:hanging="360"/>
      </w:pPr>
    </w:lvl>
    <w:lvl w:ilvl="5" w:tplc="B8BA2628" w:tentative="1">
      <w:start w:val="1"/>
      <w:numFmt w:val="lowerRoman"/>
      <w:lvlText w:val="%6."/>
      <w:lvlJc w:val="right"/>
      <w:pPr>
        <w:ind w:left="5343" w:hanging="180"/>
      </w:pPr>
    </w:lvl>
    <w:lvl w:ilvl="6" w:tplc="137A7B80" w:tentative="1">
      <w:start w:val="1"/>
      <w:numFmt w:val="decimal"/>
      <w:lvlText w:val="%7."/>
      <w:lvlJc w:val="left"/>
      <w:pPr>
        <w:ind w:left="6063" w:hanging="360"/>
      </w:pPr>
    </w:lvl>
    <w:lvl w:ilvl="7" w:tplc="3998F32C" w:tentative="1">
      <w:start w:val="1"/>
      <w:numFmt w:val="lowerLetter"/>
      <w:lvlText w:val="%8."/>
      <w:lvlJc w:val="left"/>
      <w:pPr>
        <w:ind w:left="6783" w:hanging="360"/>
      </w:pPr>
    </w:lvl>
    <w:lvl w:ilvl="8" w:tplc="62DABE8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90D8318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9DBCBB9C" w:tentative="1">
      <w:start w:val="1"/>
      <w:numFmt w:val="lowerLetter"/>
      <w:lvlText w:val="%2."/>
      <w:lvlJc w:val="left"/>
      <w:pPr>
        <w:ind w:left="2463" w:hanging="360"/>
      </w:pPr>
    </w:lvl>
    <w:lvl w:ilvl="2" w:tplc="D3D8A044" w:tentative="1">
      <w:start w:val="1"/>
      <w:numFmt w:val="lowerRoman"/>
      <w:lvlText w:val="%3."/>
      <w:lvlJc w:val="right"/>
      <w:pPr>
        <w:ind w:left="3183" w:hanging="180"/>
      </w:pPr>
    </w:lvl>
    <w:lvl w:ilvl="3" w:tplc="EE783B8A" w:tentative="1">
      <w:start w:val="1"/>
      <w:numFmt w:val="decimal"/>
      <w:lvlText w:val="%4."/>
      <w:lvlJc w:val="left"/>
      <w:pPr>
        <w:ind w:left="3903" w:hanging="360"/>
      </w:pPr>
    </w:lvl>
    <w:lvl w:ilvl="4" w:tplc="8768466E" w:tentative="1">
      <w:start w:val="1"/>
      <w:numFmt w:val="lowerLetter"/>
      <w:lvlText w:val="%5."/>
      <w:lvlJc w:val="left"/>
      <w:pPr>
        <w:ind w:left="4623" w:hanging="360"/>
      </w:pPr>
    </w:lvl>
    <w:lvl w:ilvl="5" w:tplc="78CEE4F6" w:tentative="1">
      <w:start w:val="1"/>
      <w:numFmt w:val="lowerRoman"/>
      <w:lvlText w:val="%6."/>
      <w:lvlJc w:val="right"/>
      <w:pPr>
        <w:ind w:left="5343" w:hanging="180"/>
      </w:pPr>
    </w:lvl>
    <w:lvl w:ilvl="6" w:tplc="6F628AA0" w:tentative="1">
      <w:start w:val="1"/>
      <w:numFmt w:val="decimal"/>
      <w:lvlText w:val="%7."/>
      <w:lvlJc w:val="left"/>
      <w:pPr>
        <w:ind w:left="6063" w:hanging="360"/>
      </w:pPr>
    </w:lvl>
    <w:lvl w:ilvl="7" w:tplc="BC1069F4" w:tentative="1">
      <w:start w:val="1"/>
      <w:numFmt w:val="lowerLetter"/>
      <w:lvlText w:val="%8."/>
      <w:lvlJc w:val="left"/>
      <w:pPr>
        <w:ind w:left="6783" w:hanging="360"/>
      </w:pPr>
    </w:lvl>
    <w:lvl w:ilvl="8" w:tplc="1268802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F1BC665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121E6844" w:tentative="1">
      <w:start w:val="1"/>
      <w:numFmt w:val="lowerLetter"/>
      <w:lvlText w:val="%2."/>
      <w:lvlJc w:val="left"/>
      <w:pPr>
        <w:ind w:left="3348" w:hanging="360"/>
      </w:pPr>
    </w:lvl>
    <w:lvl w:ilvl="2" w:tplc="6590B8B0" w:tentative="1">
      <w:start w:val="1"/>
      <w:numFmt w:val="lowerRoman"/>
      <w:lvlText w:val="%3."/>
      <w:lvlJc w:val="right"/>
      <w:pPr>
        <w:ind w:left="4068" w:hanging="180"/>
      </w:pPr>
    </w:lvl>
    <w:lvl w:ilvl="3" w:tplc="B978A4D0" w:tentative="1">
      <w:start w:val="1"/>
      <w:numFmt w:val="decimal"/>
      <w:lvlText w:val="%4."/>
      <w:lvlJc w:val="left"/>
      <w:pPr>
        <w:ind w:left="4788" w:hanging="360"/>
      </w:pPr>
    </w:lvl>
    <w:lvl w:ilvl="4" w:tplc="2DB84F10" w:tentative="1">
      <w:start w:val="1"/>
      <w:numFmt w:val="lowerLetter"/>
      <w:lvlText w:val="%5."/>
      <w:lvlJc w:val="left"/>
      <w:pPr>
        <w:ind w:left="5508" w:hanging="360"/>
      </w:pPr>
    </w:lvl>
    <w:lvl w:ilvl="5" w:tplc="68586AE4" w:tentative="1">
      <w:start w:val="1"/>
      <w:numFmt w:val="lowerRoman"/>
      <w:lvlText w:val="%6."/>
      <w:lvlJc w:val="right"/>
      <w:pPr>
        <w:ind w:left="6228" w:hanging="180"/>
      </w:pPr>
    </w:lvl>
    <w:lvl w:ilvl="6" w:tplc="1340EFFA" w:tentative="1">
      <w:start w:val="1"/>
      <w:numFmt w:val="decimal"/>
      <w:lvlText w:val="%7."/>
      <w:lvlJc w:val="left"/>
      <w:pPr>
        <w:ind w:left="6948" w:hanging="360"/>
      </w:pPr>
    </w:lvl>
    <w:lvl w:ilvl="7" w:tplc="DF14AF58" w:tentative="1">
      <w:start w:val="1"/>
      <w:numFmt w:val="lowerLetter"/>
      <w:lvlText w:val="%8."/>
      <w:lvlJc w:val="left"/>
      <w:pPr>
        <w:ind w:left="7668" w:hanging="360"/>
      </w:pPr>
    </w:lvl>
    <w:lvl w:ilvl="8" w:tplc="5DDADD2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1E"/>
    <w:rsid w:val="00015BCD"/>
    <w:rsid w:val="00053064"/>
    <w:rsid w:val="00054F63"/>
    <w:rsid w:val="00074E1A"/>
    <w:rsid w:val="000863F8"/>
    <w:rsid w:val="000C526D"/>
    <w:rsid w:val="00103BE8"/>
    <w:rsid w:val="001179C3"/>
    <w:rsid w:val="0016713C"/>
    <w:rsid w:val="00207181"/>
    <w:rsid w:val="00227100"/>
    <w:rsid w:val="00254EB8"/>
    <w:rsid w:val="00332536"/>
    <w:rsid w:val="00363647"/>
    <w:rsid w:val="00385179"/>
    <w:rsid w:val="00460947"/>
    <w:rsid w:val="004E0738"/>
    <w:rsid w:val="00503249"/>
    <w:rsid w:val="005115B0"/>
    <w:rsid w:val="00542641"/>
    <w:rsid w:val="005518B8"/>
    <w:rsid w:val="005D1F31"/>
    <w:rsid w:val="00644523"/>
    <w:rsid w:val="006A7FD0"/>
    <w:rsid w:val="006C27A2"/>
    <w:rsid w:val="006D1DBF"/>
    <w:rsid w:val="007511E8"/>
    <w:rsid w:val="007649EF"/>
    <w:rsid w:val="00777395"/>
    <w:rsid w:val="0079054F"/>
    <w:rsid w:val="007A7C6D"/>
    <w:rsid w:val="00867310"/>
    <w:rsid w:val="0087329D"/>
    <w:rsid w:val="008E2281"/>
    <w:rsid w:val="008E5006"/>
    <w:rsid w:val="009461C8"/>
    <w:rsid w:val="0095169D"/>
    <w:rsid w:val="009933D2"/>
    <w:rsid w:val="009F728E"/>
    <w:rsid w:val="00A21D41"/>
    <w:rsid w:val="00AA36B9"/>
    <w:rsid w:val="00AC515C"/>
    <w:rsid w:val="00AE1A18"/>
    <w:rsid w:val="00C23E1E"/>
    <w:rsid w:val="00C3491B"/>
    <w:rsid w:val="00CA57D0"/>
    <w:rsid w:val="00CB5CF0"/>
    <w:rsid w:val="00CC4C64"/>
    <w:rsid w:val="00D16173"/>
    <w:rsid w:val="00DB1E3E"/>
    <w:rsid w:val="00DD43C4"/>
    <w:rsid w:val="00F10607"/>
    <w:rsid w:val="00F56444"/>
    <w:rsid w:val="00F91444"/>
    <w:rsid w:val="00FB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799E3"/>
  <w15:docId w15:val="{57193AB5-8B3C-4CB2-BE3E-FDC8A0BB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C5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customStyle="1" w:styleId="Siatkatabelijasna1">
    <w:name w:val="Siatka tabeli — jasna1"/>
    <w:basedOn w:val="Standardowy"/>
    <w:uiPriority w:val="40"/>
    <w:rsid w:val="00E01C5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01C5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310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310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EF5DFF-9B22-4033-AB57-EB90F419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5</Pages>
  <Words>1085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Smieszek Kamil</dc:creator>
  <cp:lastModifiedBy>Jolanta Szczepaniak</cp:lastModifiedBy>
  <cp:revision>2</cp:revision>
  <cp:lastPrinted>2012-04-23T06:39:00Z</cp:lastPrinted>
  <dcterms:created xsi:type="dcterms:W3CDTF">2020-07-23T08:53:00Z</dcterms:created>
  <dcterms:modified xsi:type="dcterms:W3CDTF">2020-07-23T08:53:00Z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