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1F5683" w14:textId="77777777" w:rsidR="000017D9" w:rsidRDefault="000017D9" w:rsidP="007070F5">
      <w:pPr>
        <w:pStyle w:val="OZNPROJEKTUwskazaniedatylubwersjiprojektu"/>
        <w:rPr>
          <w:lang w:eastAsia="en-US"/>
        </w:rPr>
      </w:pPr>
    </w:p>
    <w:p w14:paraId="1684302E" w14:textId="77777777" w:rsidR="007070F5" w:rsidRPr="0089565E" w:rsidRDefault="007070F5" w:rsidP="007070F5">
      <w:pPr>
        <w:pStyle w:val="OZNPROJEKTUwskazaniedatylubwersjiprojektu"/>
        <w:rPr>
          <w:lang w:eastAsia="en-US"/>
        </w:rPr>
      </w:pPr>
      <w:r w:rsidRPr="0089565E">
        <w:rPr>
          <w:lang w:eastAsia="en-US"/>
        </w:rPr>
        <w:t>Projekt z dnia 27.05.2020 r.</w:t>
      </w:r>
    </w:p>
    <w:p w14:paraId="68390184" w14:textId="77777777" w:rsidR="007070F5" w:rsidRPr="0089565E" w:rsidRDefault="007070F5" w:rsidP="007070F5"/>
    <w:p w14:paraId="6DFC169E" w14:textId="77777777" w:rsidR="007070F5" w:rsidRPr="0089565E" w:rsidRDefault="007070F5" w:rsidP="007070F5">
      <w:pPr>
        <w:pStyle w:val="OZNRODZAKTUtznustawalubrozporzdzenieiorganwydajcy"/>
        <w:rPr>
          <w:lang w:eastAsia="en-US"/>
        </w:rPr>
      </w:pPr>
      <w:r w:rsidRPr="0089565E">
        <w:rPr>
          <w:lang w:eastAsia="en-US"/>
        </w:rPr>
        <w:t>USTAWA</w:t>
      </w:r>
    </w:p>
    <w:p w14:paraId="7AFC9A4A" w14:textId="77777777" w:rsidR="007070F5" w:rsidRPr="0089565E" w:rsidRDefault="007070F5" w:rsidP="007070F5">
      <w:pPr>
        <w:pStyle w:val="DATAAKTUdatauchwalenialubwydaniaaktu"/>
        <w:rPr>
          <w:lang w:eastAsia="en-US"/>
        </w:rPr>
      </w:pPr>
      <w:r w:rsidRPr="0089565E">
        <w:rPr>
          <w:lang w:eastAsia="en-US"/>
        </w:rPr>
        <w:t>z dnia ...................... 2020 r.</w:t>
      </w:r>
    </w:p>
    <w:p w14:paraId="47B8027E" w14:textId="77777777" w:rsidR="007070F5" w:rsidRPr="0089565E" w:rsidRDefault="007070F5" w:rsidP="007070F5">
      <w:pPr>
        <w:pStyle w:val="TYTUAKTUprzedmiotregulacjiustawylubrozporzdzenia"/>
        <w:rPr>
          <w:lang w:eastAsia="en-US"/>
        </w:rPr>
      </w:pPr>
      <w:r w:rsidRPr="0089565E">
        <w:rPr>
          <w:lang w:eastAsia="en-US"/>
        </w:rPr>
        <w:t>o zmianie ustawy o odnawialnych źródłach energii</w:t>
      </w:r>
      <w:r w:rsidRPr="0089565E">
        <w:rPr>
          <w:rStyle w:val="IGindeksgrny"/>
        </w:rPr>
        <w:footnoteReference w:id="1"/>
      </w:r>
      <w:r w:rsidRPr="0089565E">
        <w:rPr>
          <w:rStyle w:val="IGindeksgrny"/>
        </w:rPr>
        <w:t>)</w:t>
      </w:r>
    </w:p>
    <w:p w14:paraId="79446E1E" w14:textId="77777777" w:rsidR="007070F5" w:rsidRPr="006A1105" w:rsidRDefault="007070F5" w:rsidP="007070F5">
      <w:pPr>
        <w:pStyle w:val="NIEARTTEKSTtekstnieartykuowanynppodstprawnarozplubpreambua"/>
      </w:pPr>
      <w:r w:rsidRPr="006A1105">
        <w:t>Art. 1. W ustawie z dnia 20 lutego 2015 r. o odnawialnych źródłach energii (Dz. U. z 2020 r. poz. 261, 284, 568 i 695) po art. 184d dodaje się art. 184e i art. 184f w brzmieniu:</w:t>
      </w:r>
    </w:p>
    <w:p w14:paraId="514166A4" w14:textId="77777777" w:rsidR="007070F5" w:rsidRPr="006A1105" w:rsidRDefault="007070F5" w:rsidP="007070F5">
      <w:pPr>
        <w:pStyle w:val="ZARTzmartartykuempunktem"/>
      </w:pPr>
      <w:r w:rsidRPr="006A1105">
        <w:t>„Art. 184e. Od dnia 1 lipca 2020 r. do dnia 31 grudnia 2021 r., za drewno energetyczne uznaje się:</w:t>
      </w:r>
    </w:p>
    <w:p w14:paraId="550B713A" w14:textId="77777777" w:rsidR="007070F5" w:rsidRPr="006A1105" w:rsidRDefault="007070F5" w:rsidP="007070F5">
      <w:pPr>
        <w:pStyle w:val="ZARTzmartartykuempunktem"/>
      </w:pPr>
      <w:r w:rsidRPr="006A1105">
        <w:t>1)</w:t>
      </w:r>
      <w:r w:rsidRPr="006A1105">
        <w:tab/>
        <w:t>surowiec drzewny niebędący drewnem tartacznym i skrawanym, stanowiącym dłużyce, kłody tartaczne i skrawane oraz niebędący materiałem drzewnym powstałym w wyniku  procesu celowego rozdrobnienia tego surowca drzewnego;</w:t>
      </w:r>
    </w:p>
    <w:p w14:paraId="33039B22" w14:textId="77777777" w:rsidR="007070F5" w:rsidRPr="006A1105" w:rsidRDefault="007070F5" w:rsidP="007070F5">
      <w:pPr>
        <w:pStyle w:val="ZARTzmartartykuempunktem"/>
      </w:pPr>
      <w:r w:rsidRPr="006A1105">
        <w:t>2)</w:t>
      </w:r>
      <w:r w:rsidRPr="006A1105">
        <w:tab/>
        <w:t>produkty uboczne będące efektem przetworzenia surowca drzewnego, niezanieczyszczone substancjami niewystępującymi naturalnie w drewnie;</w:t>
      </w:r>
    </w:p>
    <w:p w14:paraId="2C6331C2" w14:textId="77777777" w:rsidR="007070F5" w:rsidRPr="006A1105" w:rsidRDefault="007070F5" w:rsidP="007070F5">
      <w:pPr>
        <w:pStyle w:val="ZARTzmartartykuempunktem"/>
      </w:pPr>
      <w:r w:rsidRPr="006A1105">
        <w:t>3)</w:t>
      </w:r>
      <w:r w:rsidRPr="006A1105">
        <w:tab/>
        <w:t>odpady, będące efektem przetworzenia surowca drzewnego,</w:t>
      </w:r>
      <w:r>
        <w:t xml:space="preserve"> </w:t>
      </w:r>
      <w:r w:rsidRPr="006A1105">
        <w:t>niezanieczyszczone substancjami niewystępującymi naturalnie w drewnie, zagospodarowywane zgodnie z hierarchią sposobów postępowania z odpadami.</w:t>
      </w:r>
    </w:p>
    <w:p w14:paraId="7478A11C" w14:textId="77777777" w:rsidR="007070F5" w:rsidRPr="006A1105" w:rsidRDefault="007070F5" w:rsidP="007070F5">
      <w:pPr>
        <w:pStyle w:val="ZARTzmartartykuempunktem"/>
      </w:pPr>
      <w:r w:rsidRPr="006A1105">
        <w:t>Art. 184f. W okresie od dnia 1 lipca 2020 r. do dnia 31 grudnia 2021 r., do drewna energetycznego w rozumieniu art. 184e nie stosuje się przepisów wydanych na podstawie art. 119a.”.</w:t>
      </w:r>
    </w:p>
    <w:p w14:paraId="52C9B3DE" w14:textId="77777777" w:rsidR="007070F5" w:rsidRPr="00EB0674" w:rsidRDefault="007070F5" w:rsidP="007070F5">
      <w:pPr>
        <w:pStyle w:val="ARTartustawynprozporzdzenia"/>
        <w:rPr>
          <w:lang w:eastAsia="en-US"/>
        </w:rPr>
      </w:pPr>
      <w:r w:rsidRPr="00EB0674">
        <w:rPr>
          <w:lang w:eastAsia="en-US"/>
        </w:rPr>
        <w:t>Art. 2. 1. Do energii elektrycznej, która do dnia 1 lipca 2020 r. została wytworzona z drewna energetycznego, w sprawach:</w:t>
      </w:r>
    </w:p>
    <w:p w14:paraId="1F063FDD" w14:textId="77777777" w:rsidR="007070F5" w:rsidRPr="00EB0674" w:rsidRDefault="007070F5" w:rsidP="007070F5">
      <w:pPr>
        <w:pStyle w:val="PKTpunkt"/>
        <w:rPr>
          <w:lang w:eastAsia="en-US"/>
        </w:rPr>
      </w:pPr>
      <w:r>
        <w:t>1)</w:t>
      </w:r>
      <w:r>
        <w:tab/>
      </w:r>
      <w:r w:rsidRPr="00EB0674">
        <w:rPr>
          <w:lang w:eastAsia="en-US"/>
        </w:rPr>
        <w:t xml:space="preserve">o wydanie świadectw pochodzenia w rozumieniu art. 44 ust. 1 ustawy zmienianej </w:t>
      </w:r>
      <w:r>
        <w:br/>
      </w:r>
      <w:r w:rsidRPr="00EB0674">
        <w:rPr>
          <w:lang w:eastAsia="en-US"/>
        </w:rPr>
        <w:t>w art. 1,</w:t>
      </w:r>
    </w:p>
    <w:p w14:paraId="4DCCD08F" w14:textId="77777777" w:rsidR="007070F5" w:rsidRPr="00EB0674" w:rsidRDefault="007070F5" w:rsidP="007070F5">
      <w:pPr>
        <w:pStyle w:val="PKTpunkt"/>
        <w:rPr>
          <w:lang w:eastAsia="en-US"/>
        </w:rPr>
      </w:pPr>
      <w:r>
        <w:t>2)</w:t>
      </w:r>
      <w:r>
        <w:tab/>
      </w:r>
      <w:r w:rsidRPr="00EB0674">
        <w:rPr>
          <w:lang w:eastAsia="en-US"/>
        </w:rPr>
        <w:t>związanych z pokryciem ujemnego salda, o którym mowa w art. 93 ust. 1 pkt 4 i ust. 2  pkt 3 ustawy zmienianej w art. 1, dla:</w:t>
      </w:r>
    </w:p>
    <w:p w14:paraId="4569DE88" w14:textId="77777777" w:rsidR="007070F5" w:rsidRPr="00EB0674" w:rsidRDefault="007070F5" w:rsidP="007070F5">
      <w:pPr>
        <w:pStyle w:val="LITlitera"/>
        <w:rPr>
          <w:lang w:eastAsia="en-US"/>
        </w:rPr>
      </w:pPr>
      <w:bookmarkStart w:id="0" w:name="_Hlk41468993"/>
      <w:r>
        <w:lastRenderedPageBreak/>
        <w:t>a)</w:t>
      </w:r>
      <w:r>
        <w:tab/>
      </w:r>
      <w:r w:rsidRPr="00EB0674">
        <w:rPr>
          <w:lang w:eastAsia="en-US"/>
        </w:rPr>
        <w:t xml:space="preserve">wytwórcy, o którym mowa w art.  70a ust. 2 ustawy zmienianej w art. 1, który zadeklarował sprzedaż wytworzonej przez siebie i niewykorzystanej energii elektrycznej wybranemu podmiotowi, innemu niż sprzedawca zobowiązany w rozumieniu art. 40 ust. 1 ustawy zmienianej w art. 1, </w:t>
      </w:r>
    </w:p>
    <w:bookmarkEnd w:id="0"/>
    <w:p w14:paraId="098AE66B" w14:textId="77777777" w:rsidR="007070F5" w:rsidRPr="00EB0674" w:rsidRDefault="007070F5" w:rsidP="007070F5">
      <w:pPr>
        <w:pStyle w:val="LITlitera"/>
        <w:rPr>
          <w:lang w:eastAsia="en-US"/>
        </w:rPr>
      </w:pPr>
      <w:r>
        <w:t>b)</w:t>
      </w:r>
      <w:r>
        <w:tab/>
      </w:r>
      <w:r w:rsidRPr="00EB0674">
        <w:rPr>
          <w:lang w:eastAsia="en-US"/>
        </w:rPr>
        <w:t xml:space="preserve">wytwórcy, o którym mowa w art.  93 ust. 2 ustawy zmienianej w art. 1, </w:t>
      </w:r>
      <w:r>
        <w:t xml:space="preserve">który sprzedaje energię elektryczną </w:t>
      </w:r>
      <w:r w:rsidRPr="00EB0674">
        <w:rPr>
          <w:lang w:eastAsia="en-US"/>
        </w:rPr>
        <w:t xml:space="preserve">z odnawialnych źródeł energii w okresie określonym w przepisach wydanych na podstawie art. 77 ust. 3 ustawy zmienianej w art. 1, </w:t>
      </w:r>
    </w:p>
    <w:p w14:paraId="30B656A3" w14:textId="77777777" w:rsidR="007070F5" w:rsidRPr="00EB0674" w:rsidRDefault="007070F5" w:rsidP="007070F5">
      <w:pPr>
        <w:pStyle w:val="LITlitera"/>
        <w:rPr>
          <w:lang w:eastAsia="en-US"/>
        </w:rPr>
      </w:pPr>
      <w:r>
        <w:t>c)</w:t>
      </w:r>
      <w:r>
        <w:tab/>
      </w:r>
      <w:r w:rsidRPr="00EB0674">
        <w:rPr>
          <w:lang w:eastAsia="en-US"/>
        </w:rPr>
        <w:t xml:space="preserve">sprzedawcy zobowiązanemu w rozumieniu art. 40 ust. 1 ustawy zmienianej </w:t>
      </w:r>
      <w:r>
        <w:br/>
      </w:r>
      <w:r w:rsidRPr="00EB0674">
        <w:rPr>
          <w:lang w:eastAsia="en-US"/>
        </w:rPr>
        <w:t xml:space="preserve">w art. 1, który wykonuje obowiązek zakupu energii elektrycznej, o którym mowa </w:t>
      </w:r>
      <w:r>
        <w:br/>
      </w:r>
      <w:r w:rsidRPr="00EB0674">
        <w:rPr>
          <w:lang w:eastAsia="en-US"/>
        </w:rPr>
        <w:t>w art. 70c ust. 2 oraz art.  92 ust. 1 ustawy zmienianej w art. 1</w:t>
      </w:r>
    </w:p>
    <w:p w14:paraId="5E2674CB" w14:textId="77777777" w:rsidR="007070F5" w:rsidRPr="00EB0674" w:rsidRDefault="007070F5" w:rsidP="007070F5">
      <w:pPr>
        <w:pStyle w:val="CZWSPLITczwsplnaliter"/>
        <w:rPr>
          <w:lang w:eastAsia="en-US"/>
        </w:rPr>
      </w:pPr>
      <w:r w:rsidRPr="00EB0674">
        <w:rPr>
          <w:lang w:eastAsia="en-US"/>
        </w:rPr>
        <w:t xml:space="preserve">- wszczętych i niezakończonych do dnia 1 lipca 2020 r. oraz wszczętych po tym dniu i odnoszących się do tej energii, stosuje się art. 2 pkt 7a ustawy zmienianej w art. 1. </w:t>
      </w:r>
    </w:p>
    <w:p w14:paraId="045B77D3" w14:textId="77777777" w:rsidR="007070F5" w:rsidRPr="00EB0674" w:rsidRDefault="007070F5" w:rsidP="007070F5">
      <w:pPr>
        <w:pStyle w:val="USTustnpkodeksu"/>
        <w:rPr>
          <w:lang w:eastAsia="en-US"/>
        </w:rPr>
      </w:pPr>
      <w:r w:rsidRPr="00EB0674">
        <w:rPr>
          <w:lang w:eastAsia="en-US"/>
        </w:rPr>
        <w:t xml:space="preserve">2. Do energii elektrycznej, która w okresie od dnia 1 lipca 2020 r. do dnia 31 grudnia 2021 r. została wytworzona z drewna energetycznego, w sprawach określonych w ust. 1 pkt 1 i 2, wszczętych i niezakończonych w okresie od dnia 1 lipca 2020 r. do dnia 31 grudnia </w:t>
      </w:r>
      <w:r>
        <w:br/>
      </w:r>
      <w:r w:rsidRPr="00EB0674">
        <w:rPr>
          <w:lang w:eastAsia="en-US"/>
        </w:rPr>
        <w:t xml:space="preserve">2021 r. oraz wszczętych po dniu 31 grudnia 2021 r., stosuje się art. 184e i art. 184f ustawy zmienianej w art. 1. </w:t>
      </w:r>
    </w:p>
    <w:p w14:paraId="44109898" w14:textId="77777777" w:rsidR="007070F5" w:rsidRPr="00EB0674" w:rsidRDefault="007070F5" w:rsidP="007070F5">
      <w:pPr>
        <w:pStyle w:val="ARTartustawynprozporzdzenia"/>
        <w:rPr>
          <w:lang w:eastAsia="en-US"/>
        </w:rPr>
      </w:pPr>
      <w:r w:rsidRPr="00EB0674">
        <w:rPr>
          <w:lang w:eastAsia="en-US"/>
        </w:rPr>
        <w:t xml:space="preserve">Art. 3. Ustawa wchodzi w życie z dniem 1 lipca 2020 r. </w:t>
      </w:r>
    </w:p>
    <w:p w14:paraId="4BBAC8DF" w14:textId="77777777" w:rsidR="007070F5" w:rsidRPr="00EB0674" w:rsidRDefault="007070F5" w:rsidP="007070F5">
      <w:pPr>
        <w:pStyle w:val="ARTartustawynprozporzdzenia"/>
        <w:rPr>
          <w:lang w:eastAsia="en-US"/>
        </w:rPr>
      </w:pPr>
    </w:p>
    <w:p w14:paraId="57B9020E" w14:textId="77777777" w:rsidR="007070F5" w:rsidRPr="00703D64" w:rsidRDefault="007070F5" w:rsidP="007070F5">
      <w:pPr>
        <w:pStyle w:val="ZARTzmartartykuempunktem"/>
      </w:pPr>
    </w:p>
    <w:p w14:paraId="6F90B444" w14:textId="77777777" w:rsidR="007070F5" w:rsidRPr="00737F6A" w:rsidRDefault="007070F5" w:rsidP="007070F5">
      <w:pPr>
        <w:pStyle w:val="TYTUAKTUprzedmiotregulacjiustawylubrozporzdzenia"/>
      </w:pPr>
    </w:p>
    <w:p w14:paraId="0FF78729" w14:textId="77777777" w:rsidR="009E59A7" w:rsidRDefault="009E59A7" w:rsidP="008F1401">
      <w:pPr>
        <w:spacing w:after="0" w:line="360" w:lineRule="auto"/>
        <w:jc w:val="both"/>
        <w:rPr>
          <w:rFonts w:ascii="Times New Roman" w:hAnsi="Times New Roman" w:cs="Times New Roman"/>
          <w:sz w:val="24"/>
        </w:rPr>
      </w:pPr>
    </w:p>
    <w:p w14:paraId="4A664820" w14:textId="77777777" w:rsidR="00916B49" w:rsidRDefault="00916B49" w:rsidP="008F1401">
      <w:pPr>
        <w:spacing w:after="0" w:line="360" w:lineRule="auto"/>
        <w:jc w:val="both"/>
        <w:rPr>
          <w:rFonts w:ascii="Times New Roman" w:hAnsi="Times New Roman" w:cs="Times New Roman"/>
          <w:sz w:val="24"/>
        </w:rPr>
      </w:pPr>
    </w:p>
    <w:p w14:paraId="50E9C79E" w14:textId="77777777" w:rsidR="00916B49" w:rsidRDefault="00916B49" w:rsidP="008F1401">
      <w:pPr>
        <w:spacing w:after="0" w:line="360" w:lineRule="auto"/>
        <w:jc w:val="both"/>
        <w:rPr>
          <w:rFonts w:ascii="Times New Roman" w:hAnsi="Times New Roman" w:cs="Times New Roman"/>
          <w:sz w:val="24"/>
        </w:rPr>
      </w:pPr>
    </w:p>
    <w:p w14:paraId="339BE9FE" w14:textId="77777777" w:rsidR="00916B49" w:rsidRDefault="00916B49" w:rsidP="008F1401">
      <w:pPr>
        <w:spacing w:after="0" w:line="360" w:lineRule="auto"/>
        <w:jc w:val="both"/>
        <w:rPr>
          <w:rFonts w:ascii="Times New Roman" w:hAnsi="Times New Roman" w:cs="Times New Roman"/>
          <w:sz w:val="24"/>
        </w:rPr>
      </w:pPr>
    </w:p>
    <w:p w14:paraId="7F6C76D5" w14:textId="77777777" w:rsidR="00916B49" w:rsidRDefault="00916B49" w:rsidP="008F1401">
      <w:pPr>
        <w:spacing w:after="0" w:line="360" w:lineRule="auto"/>
        <w:jc w:val="both"/>
        <w:rPr>
          <w:rFonts w:ascii="Times New Roman" w:hAnsi="Times New Roman" w:cs="Times New Roman"/>
          <w:sz w:val="24"/>
        </w:rPr>
      </w:pPr>
    </w:p>
    <w:p w14:paraId="7F17C71B" w14:textId="77777777" w:rsidR="00916B49" w:rsidRDefault="00916B49" w:rsidP="008F1401">
      <w:pPr>
        <w:spacing w:after="0" w:line="360" w:lineRule="auto"/>
        <w:jc w:val="both"/>
        <w:rPr>
          <w:rFonts w:ascii="Times New Roman" w:hAnsi="Times New Roman" w:cs="Times New Roman"/>
          <w:sz w:val="24"/>
        </w:rPr>
      </w:pPr>
    </w:p>
    <w:p w14:paraId="4E3E4F38" w14:textId="77777777" w:rsidR="00916B49" w:rsidRDefault="00916B49" w:rsidP="008F1401">
      <w:pPr>
        <w:spacing w:after="0" w:line="360" w:lineRule="auto"/>
        <w:jc w:val="both"/>
        <w:rPr>
          <w:rFonts w:ascii="Times New Roman" w:hAnsi="Times New Roman" w:cs="Times New Roman"/>
          <w:sz w:val="24"/>
        </w:rPr>
      </w:pPr>
    </w:p>
    <w:p w14:paraId="4771ED49" w14:textId="77777777" w:rsidR="00916B49" w:rsidRDefault="00916B49" w:rsidP="008F1401">
      <w:pPr>
        <w:spacing w:after="0" w:line="360" w:lineRule="auto"/>
        <w:jc w:val="both"/>
        <w:rPr>
          <w:rFonts w:ascii="Times New Roman" w:hAnsi="Times New Roman" w:cs="Times New Roman"/>
          <w:sz w:val="24"/>
        </w:rPr>
      </w:pPr>
    </w:p>
    <w:p w14:paraId="78A8F078" w14:textId="77777777" w:rsidR="00916B49" w:rsidRDefault="00916B49" w:rsidP="008F1401">
      <w:pPr>
        <w:spacing w:after="0" w:line="360" w:lineRule="auto"/>
        <w:jc w:val="both"/>
        <w:rPr>
          <w:rFonts w:ascii="Times New Roman" w:hAnsi="Times New Roman" w:cs="Times New Roman"/>
          <w:sz w:val="24"/>
        </w:rPr>
      </w:pPr>
    </w:p>
    <w:p w14:paraId="041E1B77" w14:textId="77777777" w:rsidR="00916B49" w:rsidRDefault="00916B49" w:rsidP="008F1401">
      <w:pPr>
        <w:spacing w:after="0" w:line="360" w:lineRule="auto"/>
        <w:jc w:val="both"/>
        <w:rPr>
          <w:rFonts w:ascii="Times New Roman" w:hAnsi="Times New Roman" w:cs="Times New Roman"/>
          <w:sz w:val="24"/>
        </w:rPr>
      </w:pPr>
    </w:p>
    <w:p w14:paraId="6EFF2253" w14:textId="77777777" w:rsidR="00916B49" w:rsidRDefault="00916B49" w:rsidP="008F1401">
      <w:pPr>
        <w:spacing w:after="0" w:line="360" w:lineRule="auto"/>
        <w:jc w:val="both"/>
        <w:rPr>
          <w:rFonts w:ascii="Times New Roman" w:hAnsi="Times New Roman" w:cs="Times New Roman"/>
          <w:sz w:val="24"/>
        </w:rPr>
      </w:pPr>
    </w:p>
    <w:p w14:paraId="2608EF83" w14:textId="71D130B7" w:rsidR="009E59A7" w:rsidRPr="00A64EE6" w:rsidRDefault="00711213" w:rsidP="00711213">
      <w:pPr>
        <w:spacing w:after="0" w:line="360" w:lineRule="auto"/>
        <w:ind w:firstLine="567"/>
        <w:jc w:val="center"/>
        <w:rPr>
          <w:rFonts w:ascii="Times New Roman" w:hAnsi="Times New Roman" w:cs="Times New Roman"/>
          <w:b/>
          <w:sz w:val="24"/>
          <w:szCs w:val="24"/>
        </w:rPr>
      </w:pPr>
      <w:r w:rsidRPr="00A64EE6">
        <w:rPr>
          <w:rFonts w:ascii="Times New Roman" w:hAnsi="Times New Roman" w:cs="Times New Roman"/>
          <w:b/>
          <w:sz w:val="24"/>
          <w:szCs w:val="24"/>
        </w:rPr>
        <w:lastRenderedPageBreak/>
        <w:t>U</w:t>
      </w:r>
      <w:r w:rsidR="00D833EA" w:rsidRPr="00A64EE6">
        <w:rPr>
          <w:rFonts w:ascii="Times New Roman" w:hAnsi="Times New Roman" w:cs="Times New Roman"/>
          <w:b/>
          <w:sz w:val="24"/>
          <w:szCs w:val="24"/>
        </w:rPr>
        <w:t>ZASADNIENIE</w:t>
      </w:r>
    </w:p>
    <w:p w14:paraId="0146DBCA" w14:textId="77777777" w:rsidR="00D833EA" w:rsidRPr="00A64EE6" w:rsidRDefault="00D833EA" w:rsidP="00711213">
      <w:pPr>
        <w:spacing w:after="0" w:line="360" w:lineRule="auto"/>
        <w:ind w:firstLine="567"/>
        <w:jc w:val="center"/>
        <w:rPr>
          <w:rFonts w:ascii="Times New Roman" w:hAnsi="Times New Roman" w:cs="Times New Roman"/>
          <w:b/>
          <w:sz w:val="24"/>
          <w:szCs w:val="24"/>
        </w:rPr>
      </w:pPr>
    </w:p>
    <w:p w14:paraId="0A1C37C1" w14:textId="2A8CACE2"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 związku z trwającą epidemią drewno pozyskane w lasach nie jest odbierane. Nagromadzenie takiego drewna będzie skutkować zwiększeniem zagrożenia pożarowego w lasach oraz staje się ono miejscem do rozwoju szkodliwych owadów, których gradacja może spowodować zamieranie drzewostanów</w:t>
      </w:r>
      <w:r w:rsidR="00BD4CD9" w:rsidRPr="00A64EE6">
        <w:rPr>
          <w:rFonts w:ascii="Times New Roman" w:hAnsi="Times New Roman" w:cs="Times New Roman"/>
          <w:sz w:val="24"/>
          <w:szCs w:val="24"/>
        </w:rPr>
        <w:t>,</w:t>
      </w:r>
      <w:r w:rsidRPr="00A64EE6">
        <w:rPr>
          <w:rFonts w:ascii="Times New Roman" w:hAnsi="Times New Roman" w:cs="Times New Roman"/>
          <w:sz w:val="24"/>
          <w:szCs w:val="24"/>
        </w:rPr>
        <w:t xml:space="preserve"> jak również przełożyć się na jakość surowca drzewnego pozyskanego w przyszłości. Dodatkowo brak rozszerzenia rynków zbytu surowca drzewnego będzie skutkował stratami dla Skarbu Państwa, któr</w:t>
      </w:r>
      <w:r w:rsidR="000C4C92" w:rsidRPr="00A64EE6">
        <w:rPr>
          <w:rFonts w:ascii="Times New Roman" w:hAnsi="Times New Roman" w:cs="Times New Roman"/>
          <w:sz w:val="24"/>
          <w:szCs w:val="24"/>
        </w:rPr>
        <w:t>ego</w:t>
      </w:r>
      <w:r w:rsidRPr="00A64EE6">
        <w:rPr>
          <w:rFonts w:ascii="Times New Roman" w:hAnsi="Times New Roman" w:cs="Times New Roman"/>
          <w:sz w:val="24"/>
          <w:szCs w:val="24"/>
        </w:rPr>
        <w:t xml:space="preserve"> majątkiem za</w:t>
      </w:r>
      <w:r w:rsidR="00862D7E" w:rsidRPr="00A64EE6">
        <w:rPr>
          <w:rFonts w:ascii="Times New Roman" w:hAnsi="Times New Roman" w:cs="Times New Roman"/>
          <w:sz w:val="24"/>
          <w:szCs w:val="24"/>
        </w:rPr>
        <w:t>rządza</w:t>
      </w:r>
      <w:r w:rsidRPr="00A64EE6">
        <w:rPr>
          <w:rFonts w:ascii="Times New Roman" w:hAnsi="Times New Roman" w:cs="Times New Roman"/>
          <w:sz w:val="24"/>
          <w:szCs w:val="24"/>
        </w:rPr>
        <w:t xml:space="preserve"> P</w:t>
      </w:r>
      <w:r w:rsidR="00D833EA" w:rsidRPr="00A64EE6">
        <w:rPr>
          <w:rFonts w:ascii="Times New Roman" w:hAnsi="Times New Roman" w:cs="Times New Roman"/>
          <w:sz w:val="24"/>
          <w:szCs w:val="24"/>
        </w:rPr>
        <w:t xml:space="preserve">aństwowe Gospodarstwo </w:t>
      </w:r>
      <w:r w:rsidRPr="00A64EE6">
        <w:rPr>
          <w:rFonts w:ascii="Times New Roman" w:hAnsi="Times New Roman" w:cs="Times New Roman"/>
          <w:sz w:val="24"/>
          <w:szCs w:val="24"/>
        </w:rPr>
        <w:t>L</w:t>
      </w:r>
      <w:r w:rsidR="00D833EA" w:rsidRPr="00A64EE6">
        <w:rPr>
          <w:rFonts w:ascii="Times New Roman" w:hAnsi="Times New Roman" w:cs="Times New Roman"/>
          <w:sz w:val="24"/>
          <w:szCs w:val="24"/>
        </w:rPr>
        <w:t>eśne</w:t>
      </w:r>
      <w:r w:rsidRPr="00A64EE6">
        <w:rPr>
          <w:rFonts w:ascii="Times New Roman" w:hAnsi="Times New Roman" w:cs="Times New Roman"/>
          <w:sz w:val="24"/>
          <w:szCs w:val="24"/>
        </w:rPr>
        <w:t xml:space="preserve"> L</w:t>
      </w:r>
      <w:r w:rsidR="00D833EA" w:rsidRPr="00A64EE6">
        <w:rPr>
          <w:rFonts w:ascii="Times New Roman" w:hAnsi="Times New Roman" w:cs="Times New Roman"/>
          <w:sz w:val="24"/>
          <w:szCs w:val="24"/>
        </w:rPr>
        <w:t xml:space="preserve">asy </w:t>
      </w:r>
      <w:r w:rsidRPr="00A64EE6">
        <w:rPr>
          <w:rFonts w:ascii="Times New Roman" w:hAnsi="Times New Roman" w:cs="Times New Roman"/>
          <w:sz w:val="24"/>
          <w:szCs w:val="24"/>
        </w:rPr>
        <w:t>P</w:t>
      </w:r>
      <w:r w:rsidR="00D833EA" w:rsidRPr="00A64EE6">
        <w:rPr>
          <w:rFonts w:ascii="Times New Roman" w:hAnsi="Times New Roman" w:cs="Times New Roman"/>
          <w:sz w:val="24"/>
          <w:szCs w:val="24"/>
        </w:rPr>
        <w:t>aństwowe</w:t>
      </w:r>
      <w:r w:rsidR="000C4C92" w:rsidRPr="00A64EE6">
        <w:rPr>
          <w:rFonts w:ascii="Times New Roman" w:hAnsi="Times New Roman" w:cs="Times New Roman"/>
          <w:sz w:val="24"/>
          <w:szCs w:val="24"/>
        </w:rPr>
        <w:t>,</w:t>
      </w:r>
      <w:r w:rsidRPr="00A64EE6">
        <w:rPr>
          <w:rFonts w:ascii="Times New Roman" w:hAnsi="Times New Roman" w:cs="Times New Roman"/>
          <w:sz w:val="24"/>
          <w:szCs w:val="24"/>
        </w:rPr>
        <w:t xml:space="preserve"> jak również przyczyni się do zatrzymania pozyskania w lasach</w:t>
      </w:r>
      <w:r w:rsidR="000C4C92" w:rsidRPr="00A64EE6">
        <w:rPr>
          <w:rFonts w:ascii="Times New Roman" w:hAnsi="Times New Roman" w:cs="Times New Roman"/>
          <w:sz w:val="24"/>
          <w:szCs w:val="24"/>
        </w:rPr>
        <w:t>,</w:t>
      </w:r>
      <w:r w:rsidRPr="00A64EE6">
        <w:rPr>
          <w:rFonts w:ascii="Times New Roman" w:hAnsi="Times New Roman" w:cs="Times New Roman"/>
          <w:sz w:val="24"/>
          <w:szCs w:val="24"/>
        </w:rPr>
        <w:t xml:space="preserve"> co może skutkować bankructwem przedsiębiorstw w branży usług leśnych.</w:t>
      </w:r>
    </w:p>
    <w:p w14:paraId="7793A54D" w14:textId="517FEA2B"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Pozostawienie niewywiezionego drewna z lasu, szczególnie iglastego, którego nagromadzenie (zapas) wynosi aktualnie około 2,8 mln m</w:t>
      </w:r>
      <w:r w:rsidRPr="00A64EE6">
        <w:rPr>
          <w:rFonts w:ascii="Times New Roman" w:hAnsi="Times New Roman" w:cs="Times New Roman"/>
          <w:sz w:val="24"/>
          <w:szCs w:val="24"/>
          <w:vertAlign w:val="superscript"/>
        </w:rPr>
        <w:t>3</w:t>
      </w:r>
      <w:r w:rsidRPr="00A64EE6">
        <w:rPr>
          <w:rFonts w:ascii="Times New Roman" w:hAnsi="Times New Roman" w:cs="Times New Roman"/>
          <w:sz w:val="24"/>
          <w:szCs w:val="24"/>
        </w:rPr>
        <w:t xml:space="preserve">, z czego 77% to drewno stosunkowo świeże, pozyskane przed upływem 60 dni, stanowi bardzo duże niebezpieczeństwo powstania gigantycznych rozmiarów klęsk ekologicznych. Oprócz utrzymującego się </w:t>
      </w:r>
      <w:r w:rsidR="00BD4CD9" w:rsidRPr="00A64EE6">
        <w:rPr>
          <w:rFonts w:ascii="Times New Roman" w:hAnsi="Times New Roman" w:cs="Times New Roman"/>
          <w:sz w:val="24"/>
          <w:szCs w:val="24"/>
        </w:rPr>
        <w:t xml:space="preserve">do niedawna </w:t>
      </w:r>
      <w:r w:rsidRPr="00A64EE6">
        <w:rPr>
          <w:rFonts w:ascii="Times New Roman" w:hAnsi="Times New Roman" w:cs="Times New Roman"/>
          <w:sz w:val="24"/>
          <w:szCs w:val="24"/>
        </w:rPr>
        <w:t>najwyższego bo 3. stopnia zagrożenia pożarowego niemalże na terytorium całego kraju, grożącego wybuchem pożarów, przy dodatkowym tak dużym nagromadzeni</w:t>
      </w:r>
      <w:r w:rsidR="00862D7E" w:rsidRPr="00A64EE6">
        <w:rPr>
          <w:rFonts w:ascii="Times New Roman" w:hAnsi="Times New Roman" w:cs="Times New Roman"/>
          <w:sz w:val="24"/>
          <w:szCs w:val="24"/>
        </w:rPr>
        <w:t>u</w:t>
      </w:r>
      <w:r w:rsidRPr="00A64EE6">
        <w:rPr>
          <w:rFonts w:ascii="Times New Roman" w:hAnsi="Times New Roman" w:cs="Times New Roman"/>
          <w:sz w:val="24"/>
          <w:szCs w:val="24"/>
        </w:rPr>
        <w:t xml:space="preserve"> drewna iglastego łatwopalnego, istnieje wiele innych zagrożeń pilnych do wyeliminowania z lasu</w:t>
      </w:r>
      <w:r w:rsidR="00862D7E" w:rsidRPr="00A64EE6">
        <w:rPr>
          <w:rFonts w:ascii="Times New Roman" w:hAnsi="Times New Roman" w:cs="Times New Roman"/>
          <w:sz w:val="24"/>
          <w:szCs w:val="24"/>
        </w:rPr>
        <w:t>,</w:t>
      </w:r>
      <w:r w:rsidRPr="00A64EE6">
        <w:rPr>
          <w:rFonts w:ascii="Times New Roman" w:hAnsi="Times New Roman" w:cs="Times New Roman"/>
          <w:sz w:val="24"/>
          <w:szCs w:val="24"/>
        </w:rPr>
        <w:t xml:space="preserve"> a powiązanych z brakiem możliwości zagospodarowania surowca drzewnego (szczególnie iglastego). Polskim lasom grozi klęska ekologiczna związana z gradacyjnym rozwojem owadów</w:t>
      </w:r>
      <w:r w:rsidR="000C4C92" w:rsidRPr="00A64EE6">
        <w:rPr>
          <w:rFonts w:ascii="Times New Roman" w:hAnsi="Times New Roman" w:cs="Times New Roman"/>
          <w:sz w:val="24"/>
          <w:szCs w:val="24"/>
        </w:rPr>
        <w:t>,</w:t>
      </w:r>
      <w:r w:rsidRPr="00A64EE6">
        <w:rPr>
          <w:rFonts w:ascii="Times New Roman" w:hAnsi="Times New Roman" w:cs="Times New Roman"/>
          <w:sz w:val="24"/>
          <w:szCs w:val="24"/>
        </w:rPr>
        <w:t xml:space="preserve"> w tym korników</w:t>
      </w:r>
      <w:r w:rsidR="00862D7E" w:rsidRPr="00A64EE6">
        <w:rPr>
          <w:rFonts w:ascii="Times New Roman" w:hAnsi="Times New Roman" w:cs="Times New Roman"/>
          <w:sz w:val="24"/>
          <w:szCs w:val="24"/>
        </w:rPr>
        <w:t>:</w:t>
      </w:r>
      <w:r w:rsidRPr="00A64EE6">
        <w:rPr>
          <w:rFonts w:ascii="Times New Roman" w:hAnsi="Times New Roman" w:cs="Times New Roman"/>
          <w:sz w:val="24"/>
          <w:szCs w:val="24"/>
        </w:rPr>
        <w:t xml:space="preserve"> drukarza i </w:t>
      </w:r>
      <w:proofErr w:type="spellStart"/>
      <w:r w:rsidRPr="00A64EE6">
        <w:rPr>
          <w:rFonts w:ascii="Times New Roman" w:hAnsi="Times New Roman" w:cs="Times New Roman"/>
          <w:sz w:val="24"/>
          <w:szCs w:val="24"/>
        </w:rPr>
        <w:t>ostrozębnego</w:t>
      </w:r>
      <w:proofErr w:type="spellEnd"/>
      <w:r w:rsidRPr="00A64EE6">
        <w:rPr>
          <w:rFonts w:ascii="Times New Roman" w:hAnsi="Times New Roman" w:cs="Times New Roman"/>
          <w:sz w:val="24"/>
          <w:szCs w:val="24"/>
        </w:rPr>
        <w:t>, przypłaszczków oraz boreczników, a w dalszej konsekwencji szkodników technicznych drewna, których gradacyjny pojaw może skutkować rozpadem drzewostanów. Masowy pojaw motyli, których żer gąsienic w okresie intensywnej wegetacji (brudnice mniszka i n</w:t>
      </w:r>
      <w:r w:rsidR="0079492A" w:rsidRPr="00A64EE6">
        <w:rPr>
          <w:rFonts w:ascii="Times New Roman" w:hAnsi="Times New Roman" w:cs="Times New Roman"/>
          <w:sz w:val="24"/>
          <w:szCs w:val="24"/>
        </w:rPr>
        <w:t xml:space="preserve">ieparka, barczatka sosnówka, </w:t>
      </w:r>
      <w:proofErr w:type="spellStart"/>
      <w:r w:rsidR="0079492A" w:rsidRPr="00A64EE6">
        <w:rPr>
          <w:rFonts w:ascii="Times New Roman" w:hAnsi="Times New Roman" w:cs="Times New Roman"/>
          <w:sz w:val="24"/>
          <w:szCs w:val="24"/>
        </w:rPr>
        <w:t>po</w:t>
      </w:r>
      <w:r w:rsidRPr="00A64EE6">
        <w:rPr>
          <w:rFonts w:ascii="Times New Roman" w:hAnsi="Times New Roman" w:cs="Times New Roman"/>
          <w:sz w:val="24"/>
          <w:szCs w:val="24"/>
        </w:rPr>
        <w:t>p</w:t>
      </w:r>
      <w:r w:rsidR="0079492A" w:rsidRPr="00A64EE6">
        <w:rPr>
          <w:rFonts w:ascii="Times New Roman" w:hAnsi="Times New Roman" w:cs="Times New Roman"/>
          <w:sz w:val="24"/>
          <w:szCs w:val="24"/>
        </w:rPr>
        <w:t>r</w:t>
      </w:r>
      <w:r w:rsidRPr="00A64EE6">
        <w:rPr>
          <w:rFonts w:ascii="Times New Roman" w:hAnsi="Times New Roman" w:cs="Times New Roman"/>
          <w:sz w:val="24"/>
          <w:szCs w:val="24"/>
        </w:rPr>
        <w:t>och</w:t>
      </w:r>
      <w:proofErr w:type="spellEnd"/>
      <w:r w:rsidRPr="00A64EE6">
        <w:rPr>
          <w:rFonts w:ascii="Times New Roman" w:hAnsi="Times New Roman" w:cs="Times New Roman"/>
          <w:sz w:val="24"/>
          <w:szCs w:val="24"/>
        </w:rPr>
        <w:t xml:space="preserve"> cetyniak) może wywołać wielkoskalowe zamieranie całych d</w:t>
      </w:r>
      <w:r w:rsidR="0079492A" w:rsidRPr="00A64EE6">
        <w:rPr>
          <w:rFonts w:ascii="Times New Roman" w:hAnsi="Times New Roman" w:cs="Times New Roman"/>
          <w:sz w:val="24"/>
          <w:szCs w:val="24"/>
        </w:rPr>
        <w:t>rzewostanów</w:t>
      </w:r>
      <w:r w:rsidRPr="00A64EE6">
        <w:rPr>
          <w:rFonts w:ascii="Times New Roman" w:hAnsi="Times New Roman" w:cs="Times New Roman"/>
          <w:sz w:val="24"/>
          <w:szCs w:val="24"/>
        </w:rPr>
        <w:t xml:space="preserve"> porastających Polskę. Jedynym skutecznym sposobem dotychczasowej walki o ocalenie drzewostanów był stale prowadzony nadzór sanitarny i usuwanie drzew zasiedlonych przez owady, których usunięcie z drzewostanu i</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 xml:space="preserve">sprzedaż umożliwiały zachowanie lasu przed wystąpieniem klęski. W dobie zaistniałego kryzysu </w:t>
      </w:r>
      <w:r w:rsidR="0079492A" w:rsidRPr="00A64EE6">
        <w:rPr>
          <w:rFonts w:ascii="Times New Roman" w:hAnsi="Times New Roman" w:cs="Times New Roman"/>
          <w:sz w:val="24"/>
          <w:szCs w:val="24"/>
        </w:rPr>
        <w:t>wywołanego chorobą COVID–19 i brakiem zainteresowania zakupem i odbiorem</w:t>
      </w:r>
      <w:r w:rsidRPr="00A64EE6">
        <w:rPr>
          <w:rFonts w:ascii="Times New Roman" w:hAnsi="Times New Roman" w:cs="Times New Roman"/>
          <w:sz w:val="24"/>
          <w:szCs w:val="24"/>
        </w:rPr>
        <w:t xml:space="preserve"> drewna przez branżę drzewną oraz brakiem możliwości sprzedaży tzw. posuszowego drewna jako drewna energetycznego</w:t>
      </w:r>
      <w:r w:rsidR="00D833EA" w:rsidRPr="00A64EE6">
        <w:rPr>
          <w:rFonts w:ascii="Times New Roman" w:hAnsi="Times New Roman" w:cs="Times New Roman"/>
          <w:sz w:val="24"/>
          <w:szCs w:val="24"/>
        </w:rPr>
        <w:t xml:space="preserve"> </w:t>
      </w:r>
      <w:r w:rsidRPr="00A64EE6">
        <w:rPr>
          <w:rFonts w:ascii="Times New Roman" w:hAnsi="Times New Roman" w:cs="Times New Roman"/>
          <w:sz w:val="24"/>
          <w:szCs w:val="24"/>
        </w:rPr>
        <w:t xml:space="preserve">powodują, że Lasy Państwowe nie mogą prowadzić dalszego pozyskania drewna, a tym samym nie mogą zlecać prac dla ściśle powiązanej </w:t>
      </w:r>
      <w:r w:rsidR="0079492A" w:rsidRPr="00A64EE6">
        <w:rPr>
          <w:rFonts w:ascii="Times New Roman" w:hAnsi="Times New Roman" w:cs="Times New Roman"/>
          <w:sz w:val="24"/>
          <w:szCs w:val="24"/>
        </w:rPr>
        <w:t>z lasami</w:t>
      </w:r>
      <w:r w:rsidRPr="00A64EE6">
        <w:rPr>
          <w:rFonts w:ascii="Times New Roman" w:hAnsi="Times New Roman" w:cs="Times New Roman"/>
          <w:sz w:val="24"/>
          <w:szCs w:val="24"/>
        </w:rPr>
        <w:t xml:space="preserve"> branży usług leśnych</w:t>
      </w:r>
      <w:r w:rsidR="000C4C92" w:rsidRPr="00A64EE6">
        <w:rPr>
          <w:rFonts w:ascii="Times New Roman" w:hAnsi="Times New Roman" w:cs="Times New Roman"/>
          <w:sz w:val="24"/>
          <w:szCs w:val="24"/>
        </w:rPr>
        <w:t>,</w:t>
      </w:r>
      <w:r w:rsidRPr="00A64EE6">
        <w:rPr>
          <w:rFonts w:ascii="Times New Roman" w:hAnsi="Times New Roman" w:cs="Times New Roman"/>
          <w:sz w:val="24"/>
          <w:szCs w:val="24"/>
        </w:rPr>
        <w:t xml:space="preserve"> na którą składają się </w:t>
      </w:r>
      <w:r w:rsidR="00862D7E" w:rsidRPr="00A64EE6">
        <w:rPr>
          <w:rFonts w:ascii="Times New Roman" w:hAnsi="Times New Roman" w:cs="Times New Roman"/>
          <w:sz w:val="24"/>
          <w:szCs w:val="24"/>
        </w:rPr>
        <w:t>z</w:t>
      </w:r>
      <w:r w:rsidRPr="00A64EE6">
        <w:rPr>
          <w:rFonts w:ascii="Times New Roman" w:hAnsi="Times New Roman" w:cs="Times New Roman"/>
          <w:sz w:val="24"/>
          <w:szCs w:val="24"/>
        </w:rPr>
        <w:t xml:space="preserve">akłady </w:t>
      </w:r>
      <w:r w:rsidR="00862D7E" w:rsidRPr="00A64EE6">
        <w:rPr>
          <w:rFonts w:ascii="Times New Roman" w:hAnsi="Times New Roman" w:cs="Times New Roman"/>
          <w:sz w:val="24"/>
          <w:szCs w:val="24"/>
        </w:rPr>
        <w:t>u</w:t>
      </w:r>
      <w:r w:rsidRPr="00A64EE6">
        <w:rPr>
          <w:rFonts w:ascii="Times New Roman" w:hAnsi="Times New Roman" w:cs="Times New Roman"/>
          <w:sz w:val="24"/>
          <w:szCs w:val="24"/>
        </w:rPr>
        <w:t xml:space="preserve">sług </w:t>
      </w:r>
      <w:r w:rsidR="00862D7E" w:rsidRPr="00A64EE6">
        <w:rPr>
          <w:rFonts w:ascii="Times New Roman" w:hAnsi="Times New Roman" w:cs="Times New Roman"/>
          <w:sz w:val="24"/>
          <w:szCs w:val="24"/>
        </w:rPr>
        <w:t>l</w:t>
      </w:r>
      <w:r w:rsidRPr="00A64EE6">
        <w:rPr>
          <w:rFonts w:ascii="Times New Roman" w:hAnsi="Times New Roman" w:cs="Times New Roman"/>
          <w:sz w:val="24"/>
          <w:szCs w:val="24"/>
        </w:rPr>
        <w:t xml:space="preserve">eśnych. </w:t>
      </w:r>
    </w:p>
    <w:p w14:paraId="76397208" w14:textId="14FBEF00"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lastRenderedPageBreak/>
        <w:t>Warto przy tym dodać, że w wyniku utrzymującej się suszy i zachodzących zmian klimatycznych, których skutkiem jest nagły wzrost zagrożenia wystąpieniem gradacji owadzich, jest wzrost pozyskania drewna posuszowego (bez wywrotów i złomów), którego rozmiar w 2019 r. wyniósł 4,5 mln m</w:t>
      </w:r>
      <w:r w:rsidRPr="00A64EE6">
        <w:rPr>
          <w:rFonts w:ascii="Times New Roman" w:hAnsi="Times New Roman" w:cs="Times New Roman"/>
          <w:sz w:val="24"/>
          <w:szCs w:val="24"/>
          <w:vertAlign w:val="superscript"/>
        </w:rPr>
        <w:t>3</w:t>
      </w:r>
      <w:r w:rsidRPr="00A64EE6">
        <w:rPr>
          <w:rFonts w:ascii="Times New Roman" w:hAnsi="Times New Roman" w:cs="Times New Roman"/>
          <w:sz w:val="24"/>
          <w:szCs w:val="24"/>
        </w:rPr>
        <w:t xml:space="preserve"> (w tym w drzewostanach iglastych 4,1 mln m</w:t>
      </w:r>
      <w:r w:rsidRPr="00A64EE6">
        <w:rPr>
          <w:rFonts w:ascii="Times New Roman" w:hAnsi="Times New Roman" w:cs="Times New Roman"/>
          <w:sz w:val="24"/>
          <w:szCs w:val="24"/>
          <w:vertAlign w:val="superscript"/>
        </w:rPr>
        <w:t xml:space="preserve">3 </w:t>
      </w:r>
      <w:r w:rsidRPr="00A64EE6">
        <w:rPr>
          <w:rFonts w:ascii="Times New Roman" w:hAnsi="Times New Roman" w:cs="Times New Roman"/>
          <w:sz w:val="24"/>
          <w:szCs w:val="24"/>
        </w:rPr>
        <w:br/>
        <w:t>i w liściastych 0,4 mln m</w:t>
      </w:r>
      <w:r w:rsidRPr="00A64EE6">
        <w:rPr>
          <w:rFonts w:ascii="Times New Roman" w:hAnsi="Times New Roman" w:cs="Times New Roman"/>
          <w:sz w:val="24"/>
          <w:szCs w:val="24"/>
          <w:vertAlign w:val="superscript"/>
        </w:rPr>
        <w:t>3</w:t>
      </w:r>
      <w:r w:rsidRPr="00A64EE6">
        <w:rPr>
          <w:rFonts w:ascii="Times New Roman" w:hAnsi="Times New Roman" w:cs="Times New Roman"/>
          <w:sz w:val="24"/>
          <w:szCs w:val="24"/>
        </w:rPr>
        <w:t>) i osiągną</w:t>
      </w:r>
      <w:r w:rsidR="0079492A" w:rsidRPr="00A64EE6">
        <w:rPr>
          <w:rFonts w:ascii="Times New Roman" w:hAnsi="Times New Roman" w:cs="Times New Roman"/>
          <w:sz w:val="24"/>
          <w:szCs w:val="24"/>
        </w:rPr>
        <w:t>ł</w:t>
      </w:r>
      <w:r w:rsidRPr="00A64EE6">
        <w:rPr>
          <w:rFonts w:ascii="Times New Roman" w:hAnsi="Times New Roman" w:cs="Times New Roman"/>
          <w:sz w:val="24"/>
          <w:szCs w:val="24"/>
        </w:rPr>
        <w:t xml:space="preserve"> poziom dotąd niespotykany. Dla przykładu jest on wyższy o 45% od poziomu pozyskania drewna posuszowego w roku 2018 oraz o 280% wyższy w</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 xml:space="preserve">porównaniu do roku 2014. </w:t>
      </w:r>
    </w:p>
    <w:p w14:paraId="0DABEE77" w14:textId="77777777" w:rsidR="00D833EA"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Tym samym biorąc pod uwagę aktualną sytuację gospodarczą kraju oraz g</w:t>
      </w:r>
      <w:r w:rsidR="0079492A" w:rsidRPr="00A64EE6">
        <w:rPr>
          <w:rFonts w:ascii="Times New Roman" w:hAnsi="Times New Roman" w:cs="Times New Roman"/>
          <w:sz w:val="24"/>
          <w:szCs w:val="24"/>
        </w:rPr>
        <w:t xml:space="preserve">igantycznej skali </w:t>
      </w:r>
      <w:r w:rsidRPr="00A64EE6">
        <w:rPr>
          <w:rFonts w:ascii="Times New Roman" w:hAnsi="Times New Roman" w:cs="Times New Roman"/>
          <w:sz w:val="24"/>
          <w:szCs w:val="24"/>
        </w:rPr>
        <w:t xml:space="preserve"> zagrożenie ekologiczne, niezwykle ważnym jest wprowadzenie przepisu umożliwiającego zagospodarowanie zalegające</w:t>
      </w:r>
      <w:r w:rsidR="0079492A" w:rsidRPr="00A64EE6">
        <w:rPr>
          <w:rFonts w:ascii="Times New Roman" w:hAnsi="Times New Roman" w:cs="Times New Roman"/>
          <w:sz w:val="24"/>
          <w:szCs w:val="24"/>
        </w:rPr>
        <w:t>go</w:t>
      </w:r>
      <w:r w:rsidRPr="00A64EE6">
        <w:rPr>
          <w:rFonts w:ascii="Times New Roman" w:hAnsi="Times New Roman" w:cs="Times New Roman"/>
          <w:sz w:val="24"/>
          <w:szCs w:val="24"/>
        </w:rPr>
        <w:t xml:space="preserve"> drewna i w konsekwencji uruchomienie prac sanitarnych związanych z pozyskaniem zasiedlonego surowca drzewnego. </w:t>
      </w:r>
    </w:p>
    <w:p w14:paraId="0B89DC82" w14:textId="6184FB3B"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Jednocześnie, wraz ze zmniejszoną podażą surowca drzewnego w wyniku perturbacji w handlu zagranicznym towarami wytworzonymi z drewna, obse</w:t>
      </w:r>
      <w:r w:rsidR="0079492A" w:rsidRPr="00A64EE6">
        <w:rPr>
          <w:rFonts w:ascii="Times New Roman" w:hAnsi="Times New Roman" w:cs="Times New Roman"/>
          <w:sz w:val="24"/>
          <w:szCs w:val="24"/>
        </w:rPr>
        <w:t xml:space="preserve">rwujemy większą częstotliwość </w:t>
      </w:r>
      <w:r w:rsidRPr="00A64EE6">
        <w:rPr>
          <w:rFonts w:ascii="Times New Roman" w:hAnsi="Times New Roman" w:cs="Times New Roman"/>
          <w:sz w:val="24"/>
          <w:szCs w:val="24"/>
        </w:rPr>
        <w:t>występowania wielkopowierzchniowych zjawisk klęskowych na obszarach leśnych, jakimi są</w:t>
      </w:r>
      <w:r w:rsidR="00942FC4" w:rsidRPr="00A64EE6">
        <w:rPr>
          <w:rFonts w:ascii="Times New Roman" w:hAnsi="Times New Roman" w:cs="Times New Roman"/>
          <w:sz w:val="24"/>
          <w:szCs w:val="24"/>
        </w:rPr>
        <w:t> </w:t>
      </w:r>
      <w:r w:rsidRPr="00A64EE6">
        <w:rPr>
          <w:rFonts w:ascii="Times New Roman" w:hAnsi="Times New Roman" w:cs="Times New Roman"/>
          <w:sz w:val="24"/>
          <w:szCs w:val="24"/>
        </w:rPr>
        <w:t xml:space="preserve">w szczególności: duże pożary leśne, wielkie </w:t>
      </w:r>
      <w:proofErr w:type="spellStart"/>
      <w:r w:rsidRPr="00A64EE6">
        <w:rPr>
          <w:rFonts w:ascii="Times New Roman" w:hAnsi="Times New Roman" w:cs="Times New Roman"/>
          <w:sz w:val="24"/>
          <w:szCs w:val="24"/>
        </w:rPr>
        <w:t>klęskowiska</w:t>
      </w:r>
      <w:proofErr w:type="spellEnd"/>
      <w:r w:rsidRPr="00A64EE6">
        <w:rPr>
          <w:rFonts w:ascii="Times New Roman" w:hAnsi="Times New Roman" w:cs="Times New Roman"/>
          <w:sz w:val="24"/>
          <w:szCs w:val="24"/>
        </w:rPr>
        <w:t xml:space="preserve"> powstające w następstwie huraganowych wiatrów, czy zamarcie drzewostanów w efekcie nadmiernego rozmnażania się owadów żerujących na żywych drzewach. Obecnie drzewa martwe występujące w lasach na</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terenie Polski, mają miąższość wynoszącą dziesiątki milionów metrów sześciennych. Pozostawien</w:t>
      </w:r>
      <w:r w:rsidR="00711213" w:rsidRPr="00A64EE6">
        <w:rPr>
          <w:rFonts w:ascii="Times New Roman" w:hAnsi="Times New Roman" w:cs="Times New Roman"/>
          <w:sz w:val="24"/>
          <w:szCs w:val="24"/>
        </w:rPr>
        <w:t>ie w lesie drewna pozyskanego i </w:t>
      </w:r>
      <w:r w:rsidRPr="00A64EE6">
        <w:rPr>
          <w:rFonts w:ascii="Times New Roman" w:hAnsi="Times New Roman" w:cs="Times New Roman"/>
          <w:sz w:val="24"/>
          <w:szCs w:val="24"/>
        </w:rPr>
        <w:t>nieodebranego przez przedsiębiorców, będzie skutkować nasileniem się tych procesów.</w:t>
      </w:r>
    </w:p>
    <w:p w14:paraId="42DD1083" w14:textId="45157A1D"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Dodatkowo</w:t>
      </w:r>
      <w:r w:rsidR="00BD4CD9" w:rsidRPr="00A64EE6">
        <w:rPr>
          <w:rFonts w:ascii="Times New Roman" w:hAnsi="Times New Roman" w:cs="Times New Roman"/>
          <w:sz w:val="24"/>
          <w:szCs w:val="24"/>
        </w:rPr>
        <w:t>,</w:t>
      </w:r>
      <w:r w:rsidRPr="00A64EE6">
        <w:rPr>
          <w:rFonts w:ascii="Times New Roman" w:hAnsi="Times New Roman" w:cs="Times New Roman"/>
          <w:sz w:val="24"/>
          <w:szCs w:val="24"/>
        </w:rPr>
        <w:t xml:space="preserve"> z uwagi na wymogi wynikające z </w:t>
      </w:r>
      <w:r w:rsidR="007A18D2" w:rsidRPr="00A64EE6">
        <w:rPr>
          <w:rFonts w:ascii="Times New Roman" w:hAnsi="Times New Roman" w:cs="Times New Roman"/>
          <w:sz w:val="24"/>
          <w:szCs w:val="24"/>
        </w:rPr>
        <w:t>prze</w:t>
      </w:r>
      <w:r w:rsidRPr="00A64EE6">
        <w:rPr>
          <w:rFonts w:ascii="Times New Roman" w:hAnsi="Times New Roman" w:cs="Times New Roman"/>
          <w:sz w:val="24"/>
          <w:szCs w:val="24"/>
        </w:rPr>
        <w:t>pisów ustawy</w:t>
      </w:r>
      <w:r w:rsidR="006641CE" w:rsidRPr="00A64EE6">
        <w:rPr>
          <w:rFonts w:ascii="Times New Roman" w:hAnsi="Times New Roman" w:cs="Times New Roman"/>
          <w:sz w:val="24"/>
          <w:szCs w:val="24"/>
        </w:rPr>
        <w:t xml:space="preserve"> z dnia 20 lutego 2015 r.</w:t>
      </w:r>
      <w:r w:rsidRPr="00A64EE6">
        <w:rPr>
          <w:rFonts w:ascii="Times New Roman" w:hAnsi="Times New Roman" w:cs="Times New Roman"/>
          <w:sz w:val="24"/>
          <w:szCs w:val="24"/>
        </w:rPr>
        <w:t xml:space="preserve"> o </w:t>
      </w:r>
      <w:r w:rsidR="00942FC4" w:rsidRPr="00A64EE6">
        <w:rPr>
          <w:rFonts w:ascii="Times New Roman" w:hAnsi="Times New Roman" w:cs="Times New Roman"/>
          <w:sz w:val="24"/>
          <w:szCs w:val="24"/>
        </w:rPr>
        <w:t>odnawialnych źródłach energii</w:t>
      </w:r>
      <w:r w:rsidR="006641CE" w:rsidRPr="00A64EE6">
        <w:rPr>
          <w:rFonts w:ascii="Times New Roman" w:hAnsi="Times New Roman" w:cs="Times New Roman"/>
          <w:sz w:val="24"/>
          <w:szCs w:val="24"/>
        </w:rPr>
        <w:t xml:space="preserve"> (Dz. U. z 2020, poz. 261, z </w:t>
      </w:r>
      <w:proofErr w:type="spellStart"/>
      <w:r w:rsidR="006641CE" w:rsidRPr="00A64EE6">
        <w:rPr>
          <w:rFonts w:ascii="Times New Roman" w:hAnsi="Times New Roman" w:cs="Times New Roman"/>
          <w:sz w:val="24"/>
          <w:szCs w:val="24"/>
        </w:rPr>
        <w:t>późn</w:t>
      </w:r>
      <w:proofErr w:type="spellEnd"/>
      <w:r w:rsidR="006641CE" w:rsidRPr="00A64EE6">
        <w:rPr>
          <w:rFonts w:ascii="Times New Roman" w:hAnsi="Times New Roman" w:cs="Times New Roman"/>
          <w:sz w:val="24"/>
          <w:szCs w:val="24"/>
        </w:rPr>
        <w:t>. zm.)</w:t>
      </w:r>
      <w:r w:rsidRPr="00A64EE6">
        <w:rPr>
          <w:rFonts w:ascii="Times New Roman" w:hAnsi="Times New Roman" w:cs="Times New Roman"/>
          <w:sz w:val="24"/>
          <w:szCs w:val="24"/>
        </w:rPr>
        <w:t>,</w:t>
      </w:r>
      <w:r w:rsidR="00942FC4" w:rsidRPr="00A64EE6">
        <w:rPr>
          <w:rFonts w:ascii="Times New Roman" w:hAnsi="Times New Roman" w:cs="Times New Roman"/>
          <w:sz w:val="24"/>
          <w:szCs w:val="24"/>
        </w:rPr>
        <w:t xml:space="preserve"> zwanej dalej: ustawa o OZE,</w:t>
      </w:r>
      <w:r w:rsidRPr="00A64EE6">
        <w:rPr>
          <w:rFonts w:ascii="Times New Roman" w:hAnsi="Times New Roman" w:cs="Times New Roman"/>
          <w:sz w:val="24"/>
          <w:szCs w:val="24"/>
        </w:rPr>
        <w:t xml:space="preserve"> konieczność osiągnięcia wskaźników określonych w Strategii na</w:t>
      </w:r>
      <w:r w:rsidR="00942FC4" w:rsidRPr="00A64EE6">
        <w:rPr>
          <w:rFonts w:ascii="Times New Roman" w:hAnsi="Times New Roman" w:cs="Times New Roman"/>
          <w:sz w:val="24"/>
          <w:szCs w:val="24"/>
        </w:rPr>
        <w:t> </w:t>
      </w:r>
      <w:r w:rsidRPr="00A64EE6">
        <w:rPr>
          <w:rFonts w:ascii="Times New Roman" w:hAnsi="Times New Roman" w:cs="Times New Roman"/>
          <w:sz w:val="24"/>
          <w:szCs w:val="24"/>
        </w:rPr>
        <w:t>Rzecz Odpowiedzialnego Rozwoju oraz</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mając na uwadze fakt, iż Rzeczpospolita Polska zobowiązana jest</w:t>
      </w:r>
      <w:r w:rsidR="00942FC4" w:rsidRPr="00A64EE6">
        <w:rPr>
          <w:rFonts w:ascii="Times New Roman" w:hAnsi="Times New Roman" w:cs="Times New Roman"/>
          <w:sz w:val="24"/>
          <w:szCs w:val="24"/>
        </w:rPr>
        <w:t xml:space="preserve"> </w:t>
      </w:r>
      <w:r w:rsidRPr="00A64EE6">
        <w:rPr>
          <w:rFonts w:ascii="Times New Roman" w:hAnsi="Times New Roman" w:cs="Times New Roman"/>
          <w:sz w:val="24"/>
          <w:szCs w:val="24"/>
        </w:rPr>
        <w:t>do wypełnienia obowiązków wynikających z Dyrektywy Parlamentu Europejskiego i Rady (UE) 2018/2001 z</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dnia 11 grudnia 2018 r. w sprawie promowania stosowania energii ze źródeł odnawialnych (Dz.</w:t>
      </w:r>
      <w:r w:rsidR="00942FC4" w:rsidRPr="00A64EE6">
        <w:rPr>
          <w:rFonts w:ascii="Times New Roman" w:hAnsi="Times New Roman" w:cs="Times New Roman"/>
          <w:sz w:val="24"/>
          <w:szCs w:val="24"/>
        </w:rPr>
        <w:t xml:space="preserve"> </w:t>
      </w:r>
      <w:r w:rsidRPr="00A64EE6">
        <w:rPr>
          <w:rFonts w:ascii="Times New Roman" w:hAnsi="Times New Roman" w:cs="Times New Roman"/>
          <w:sz w:val="24"/>
          <w:szCs w:val="24"/>
        </w:rPr>
        <w:t>Urz.</w:t>
      </w:r>
      <w:r w:rsidR="00942FC4" w:rsidRPr="00A64EE6">
        <w:rPr>
          <w:rFonts w:ascii="Times New Roman" w:hAnsi="Times New Roman" w:cs="Times New Roman"/>
          <w:sz w:val="24"/>
          <w:szCs w:val="24"/>
        </w:rPr>
        <w:t xml:space="preserve"> </w:t>
      </w:r>
      <w:r w:rsidRPr="00A64EE6">
        <w:rPr>
          <w:rFonts w:ascii="Times New Roman" w:hAnsi="Times New Roman" w:cs="Times New Roman"/>
          <w:sz w:val="24"/>
          <w:szCs w:val="24"/>
        </w:rPr>
        <w:t>UE</w:t>
      </w:r>
      <w:r w:rsidR="00942FC4" w:rsidRPr="00A64EE6">
        <w:rPr>
          <w:rFonts w:ascii="Times New Roman" w:hAnsi="Times New Roman" w:cs="Times New Roman"/>
          <w:sz w:val="24"/>
          <w:szCs w:val="24"/>
        </w:rPr>
        <w:t xml:space="preserve"> </w:t>
      </w:r>
      <w:r w:rsidRPr="00A64EE6">
        <w:rPr>
          <w:rFonts w:ascii="Times New Roman" w:hAnsi="Times New Roman" w:cs="Times New Roman"/>
          <w:sz w:val="24"/>
          <w:szCs w:val="24"/>
        </w:rPr>
        <w:t>L Nr 328, str. 82), zwan</w:t>
      </w:r>
      <w:r w:rsidR="007A18D2" w:rsidRPr="00A64EE6">
        <w:rPr>
          <w:rFonts w:ascii="Times New Roman" w:hAnsi="Times New Roman" w:cs="Times New Roman"/>
          <w:sz w:val="24"/>
          <w:szCs w:val="24"/>
        </w:rPr>
        <w:t>ej</w:t>
      </w:r>
      <w:r w:rsidRPr="00A64EE6">
        <w:rPr>
          <w:rFonts w:ascii="Times New Roman" w:hAnsi="Times New Roman" w:cs="Times New Roman"/>
          <w:sz w:val="24"/>
          <w:szCs w:val="24"/>
        </w:rPr>
        <w:t xml:space="preserve"> dalej</w:t>
      </w:r>
      <w:r w:rsidR="00942FC4" w:rsidRPr="00A64EE6">
        <w:rPr>
          <w:rFonts w:ascii="Times New Roman" w:hAnsi="Times New Roman" w:cs="Times New Roman"/>
          <w:sz w:val="24"/>
          <w:szCs w:val="24"/>
        </w:rPr>
        <w:t>:</w:t>
      </w:r>
      <w:r w:rsidRPr="00A64EE6">
        <w:rPr>
          <w:rFonts w:ascii="Times New Roman" w:hAnsi="Times New Roman" w:cs="Times New Roman"/>
          <w:sz w:val="24"/>
          <w:szCs w:val="24"/>
        </w:rPr>
        <w:t xml:space="preserve"> RED 2, konieczne jest wprowadzenie uregulowania definicji drewna energetycznego, która pozwoli na skuteczne zastosowanie tego źródła energii odnawialnej, przy jednoczesnym zapewnieniu dostępu dla pozostałych gałęzi przemysłu do materiału drzewnego. Dlatego też proponuje się </w:t>
      </w:r>
      <w:r w:rsidR="007A18D2" w:rsidRPr="00A64EE6">
        <w:rPr>
          <w:rFonts w:ascii="Times New Roman" w:hAnsi="Times New Roman" w:cs="Times New Roman"/>
          <w:sz w:val="24"/>
          <w:szCs w:val="24"/>
        </w:rPr>
        <w:t>prze</w:t>
      </w:r>
      <w:r w:rsidRPr="00A64EE6">
        <w:rPr>
          <w:rFonts w:ascii="Times New Roman" w:hAnsi="Times New Roman" w:cs="Times New Roman"/>
          <w:sz w:val="24"/>
          <w:szCs w:val="24"/>
        </w:rPr>
        <w:t xml:space="preserve">pis, który wprowadzi definicję drewna energetycznego, </w:t>
      </w:r>
      <w:r w:rsidR="0079492A" w:rsidRPr="00A64EE6">
        <w:rPr>
          <w:rFonts w:ascii="Times New Roman" w:hAnsi="Times New Roman" w:cs="Times New Roman"/>
          <w:sz w:val="24"/>
          <w:szCs w:val="24"/>
        </w:rPr>
        <w:t xml:space="preserve">określonego jako </w:t>
      </w:r>
      <w:r w:rsidRPr="00A64EE6">
        <w:rPr>
          <w:rFonts w:ascii="Times New Roman" w:hAnsi="Times New Roman" w:cs="Times New Roman"/>
          <w:sz w:val="24"/>
          <w:szCs w:val="24"/>
        </w:rPr>
        <w:t>surowiec drzewny, z wyraźnym wyłączeniem wielkowymiarowego drewna tartacznego i skrawanego (</w:t>
      </w:r>
      <w:r w:rsidR="007A18D2" w:rsidRPr="00A64EE6">
        <w:rPr>
          <w:rFonts w:ascii="Times New Roman" w:hAnsi="Times New Roman" w:cs="Times New Roman"/>
          <w:sz w:val="24"/>
          <w:szCs w:val="24"/>
        </w:rPr>
        <w:t xml:space="preserve">dłużyc, </w:t>
      </w:r>
      <w:r w:rsidRPr="00A64EE6">
        <w:rPr>
          <w:rFonts w:ascii="Times New Roman" w:hAnsi="Times New Roman" w:cs="Times New Roman"/>
          <w:sz w:val="24"/>
          <w:szCs w:val="24"/>
        </w:rPr>
        <w:t xml:space="preserve">kłód tartacznych </w:t>
      </w:r>
      <w:r w:rsidR="0079492A" w:rsidRPr="00A64EE6">
        <w:rPr>
          <w:rFonts w:ascii="Times New Roman" w:hAnsi="Times New Roman" w:cs="Times New Roman"/>
          <w:sz w:val="24"/>
          <w:szCs w:val="24"/>
        </w:rPr>
        <w:t>i skrawanych). J</w:t>
      </w:r>
      <w:r w:rsidRPr="00A64EE6">
        <w:rPr>
          <w:rFonts w:ascii="Times New Roman" w:hAnsi="Times New Roman" w:cs="Times New Roman"/>
          <w:sz w:val="24"/>
          <w:szCs w:val="24"/>
        </w:rPr>
        <w:t>ednocześnie projekt pozwala na wykorzystanie produktów ubocznych i</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 xml:space="preserve">odpadów powstałych w procesie obróbki tego </w:t>
      </w:r>
      <w:r w:rsidRPr="00A64EE6">
        <w:rPr>
          <w:rFonts w:ascii="Times New Roman" w:hAnsi="Times New Roman" w:cs="Times New Roman"/>
          <w:sz w:val="24"/>
          <w:szCs w:val="24"/>
        </w:rPr>
        <w:lastRenderedPageBreak/>
        <w:t>surowca, jak również wykorzystanie na cele energetyczne drewna poużytkowego, co pozwoli na jednoczesną realizację aż dwóch założeń: określonego w  SOR, a także</w:t>
      </w:r>
      <w:r w:rsidR="00942FC4" w:rsidRPr="00A64EE6">
        <w:rPr>
          <w:rFonts w:ascii="Times New Roman" w:hAnsi="Times New Roman" w:cs="Times New Roman"/>
          <w:sz w:val="24"/>
          <w:szCs w:val="24"/>
        </w:rPr>
        <w:t xml:space="preserve"> w</w:t>
      </w:r>
      <w:r w:rsidRPr="00A64EE6">
        <w:rPr>
          <w:rFonts w:ascii="Times New Roman" w:hAnsi="Times New Roman" w:cs="Times New Roman"/>
          <w:sz w:val="24"/>
          <w:szCs w:val="24"/>
        </w:rPr>
        <w:t xml:space="preserve"> Narodow</w:t>
      </w:r>
      <w:r w:rsidR="00942FC4" w:rsidRPr="00A64EE6">
        <w:rPr>
          <w:rFonts w:ascii="Times New Roman" w:hAnsi="Times New Roman" w:cs="Times New Roman"/>
          <w:sz w:val="24"/>
          <w:szCs w:val="24"/>
        </w:rPr>
        <w:t>ym</w:t>
      </w:r>
      <w:r w:rsidRPr="00A64EE6">
        <w:rPr>
          <w:rFonts w:ascii="Times New Roman" w:hAnsi="Times New Roman" w:cs="Times New Roman"/>
          <w:sz w:val="24"/>
          <w:szCs w:val="24"/>
        </w:rPr>
        <w:t xml:space="preserve"> Celu Wskaźnikow</w:t>
      </w:r>
      <w:r w:rsidR="00942FC4" w:rsidRPr="00A64EE6">
        <w:rPr>
          <w:rFonts w:ascii="Times New Roman" w:hAnsi="Times New Roman" w:cs="Times New Roman"/>
          <w:sz w:val="24"/>
          <w:szCs w:val="24"/>
        </w:rPr>
        <w:t xml:space="preserve">ym </w:t>
      </w:r>
      <w:r w:rsidRPr="00A64EE6">
        <w:rPr>
          <w:rFonts w:ascii="Times New Roman" w:hAnsi="Times New Roman" w:cs="Times New Roman"/>
          <w:sz w:val="24"/>
          <w:szCs w:val="24"/>
        </w:rPr>
        <w:t>wynikając</w:t>
      </w:r>
      <w:r w:rsidR="00942FC4" w:rsidRPr="00A64EE6">
        <w:rPr>
          <w:rFonts w:ascii="Times New Roman" w:hAnsi="Times New Roman" w:cs="Times New Roman"/>
          <w:sz w:val="24"/>
          <w:szCs w:val="24"/>
        </w:rPr>
        <w:t>ym</w:t>
      </w:r>
      <w:r w:rsidRPr="00A64EE6">
        <w:rPr>
          <w:rFonts w:ascii="Times New Roman" w:hAnsi="Times New Roman" w:cs="Times New Roman"/>
          <w:sz w:val="24"/>
          <w:szCs w:val="24"/>
        </w:rPr>
        <w:t xml:space="preserve"> z art. 2 ust. 1</w:t>
      </w:r>
      <w:r w:rsidR="00574709" w:rsidRPr="00A64EE6">
        <w:rPr>
          <w:rFonts w:ascii="Times New Roman" w:hAnsi="Times New Roman" w:cs="Times New Roman"/>
          <w:sz w:val="24"/>
          <w:szCs w:val="24"/>
        </w:rPr>
        <w:t> </w:t>
      </w:r>
      <w:r w:rsidRPr="00A64EE6">
        <w:rPr>
          <w:rFonts w:ascii="Times New Roman" w:hAnsi="Times New Roman" w:cs="Times New Roman"/>
          <w:sz w:val="24"/>
          <w:szCs w:val="24"/>
        </w:rPr>
        <w:t>pkt 24 usta</w:t>
      </w:r>
      <w:r w:rsidR="00711213" w:rsidRPr="00A64EE6">
        <w:rPr>
          <w:rFonts w:ascii="Times New Roman" w:hAnsi="Times New Roman" w:cs="Times New Roman"/>
          <w:sz w:val="24"/>
          <w:szCs w:val="24"/>
        </w:rPr>
        <w:t>wy z dnia 25 sierpnia 2006 r. o </w:t>
      </w:r>
      <w:r w:rsidRPr="00A64EE6">
        <w:rPr>
          <w:rFonts w:ascii="Times New Roman" w:hAnsi="Times New Roman" w:cs="Times New Roman"/>
          <w:sz w:val="24"/>
          <w:szCs w:val="24"/>
        </w:rPr>
        <w:t>biokomponentach i</w:t>
      </w:r>
      <w:r w:rsidR="00942FC4" w:rsidRPr="00A64EE6">
        <w:rPr>
          <w:rFonts w:ascii="Times New Roman" w:hAnsi="Times New Roman" w:cs="Times New Roman"/>
          <w:sz w:val="24"/>
          <w:szCs w:val="24"/>
        </w:rPr>
        <w:t> </w:t>
      </w:r>
      <w:r w:rsidRPr="00A64EE6">
        <w:rPr>
          <w:rFonts w:ascii="Times New Roman" w:hAnsi="Times New Roman" w:cs="Times New Roman"/>
          <w:sz w:val="24"/>
          <w:szCs w:val="24"/>
        </w:rPr>
        <w:t>biopaliwach ciekłych (Dz. U. z 2019 r. poz. 1155</w:t>
      </w:r>
      <w:r w:rsidR="007A18D2" w:rsidRPr="00A64EE6">
        <w:rPr>
          <w:rFonts w:ascii="Times New Roman" w:hAnsi="Times New Roman" w:cs="Times New Roman"/>
          <w:sz w:val="24"/>
          <w:szCs w:val="24"/>
        </w:rPr>
        <w:t xml:space="preserve">, z </w:t>
      </w:r>
      <w:proofErr w:type="spellStart"/>
      <w:r w:rsidR="007A18D2" w:rsidRPr="00A64EE6">
        <w:rPr>
          <w:rFonts w:ascii="Times New Roman" w:hAnsi="Times New Roman" w:cs="Times New Roman"/>
          <w:sz w:val="24"/>
          <w:szCs w:val="24"/>
        </w:rPr>
        <w:t>późn</w:t>
      </w:r>
      <w:proofErr w:type="spellEnd"/>
      <w:r w:rsidR="007A18D2" w:rsidRPr="00A64EE6">
        <w:rPr>
          <w:rFonts w:ascii="Times New Roman" w:hAnsi="Times New Roman" w:cs="Times New Roman"/>
          <w:sz w:val="24"/>
          <w:szCs w:val="24"/>
        </w:rPr>
        <w:t>. zm.</w:t>
      </w:r>
      <w:r w:rsidRPr="00A64EE6">
        <w:rPr>
          <w:rFonts w:ascii="Times New Roman" w:hAnsi="Times New Roman" w:cs="Times New Roman"/>
          <w:sz w:val="24"/>
          <w:szCs w:val="24"/>
        </w:rPr>
        <w:t xml:space="preserve">) . </w:t>
      </w:r>
    </w:p>
    <w:p w14:paraId="35CF4EA7"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 xml:space="preserve">Zgodnie z zapisami dyrektywy RED 2, jako drewno energetyczne zakwalifikować można między innymi frakcję biomasy odpadów i pozostałości z leśnictwa i gałęzi przemysłu opartych na leśnictwie, takich jak: kora, gałęzie, drewno pochodzące z trzebieży, liście, igły, wierzchołki drzew, trociny, strużyny, ług czarny, melasa, osad włóknisty, lignina i olej talowy oraz inne materiały </w:t>
      </w:r>
      <w:proofErr w:type="spellStart"/>
      <w:r w:rsidRPr="00A64EE6">
        <w:rPr>
          <w:rFonts w:ascii="Times New Roman" w:hAnsi="Times New Roman" w:cs="Times New Roman"/>
          <w:sz w:val="24"/>
          <w:szCs w:val="24"/>
        </w:rPr>
        <w:t>lignocelulozowe</w:t>
      </w:r>
      <w:proofErr w:type="spellEnd"/>
      <w:r w:rsidRPr="00A64EE6">
        <w:rPr>
          <w:rFonts w:ascii="Times New Roman" w:hAnsi="Times New Roman" w:cs="Times New Roman"/>
          <w:sz w:val="24"/>
          <w:szCs w:val="24"/>
        </w:rPr>
        <w:t xml:space="preserve">, przez które rozumieć należy materiał składający się z ligniny, celulozy i hemicelulozy, takich jak biomasa pozyskana z lasów, drzewiastych roślin energetycznych oraz pozostałości i odpady przemysłowe gałęzi przemysłu związanych </w:t>
      </w:r>
      <w:r w:rsidRPr="00A64EE6">
        <w:rPr>
          <w:rFonts w:ascii="Times New Roman" w:hAnsi="Times New Roman" w:cs="Times New Roman"/>
          <w:sz w:val="24"/>
          <w:szCs w:val="24"/>
        </w:rPr>
        <w:br/>
        <w:t xml:space="preserve">z leśnictwem. </w:t>
      </w:r>
    </w:p>
    <w:p w14:paraId="0868C56F" w14:textId="49A4A9C1" w:rsidR="001E4763" w:rsidRPr="00A64EE6" w:rsidRDefault="001E4763" w:rsidP="001E4763">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Celem projektowanej ustawy jest wprowadzenie rozwiązania</w:t>
      </w:r>
      <w:r w:rsidR="00942FC4" w:rsidRPr="00A64EE6">
        <w:rPr>
          <w:rFonts w:ascii="Times New Roman" w:hAnsi="Times New Roman" w:cs="Times New Roman"/>
          <w:sz w:val="24"/>
          <w:szCs w:val="24"/>
        </w:rPr>
        <w:t xml:space="preserve"> zapewniającego</w:t>
      </w:r>
      <w:r w:rsidRPr="00A64EE6">
        <w:rPr>
          <w:rFonts w:ascii="Times New Roman" w:hAnsi="Times New Roman" w:cs="Times New Roman"/>
          <w:sz w:val="24"/>
          <w:szCs w:val="24"/>
        </w:rPr>
        <w:t xml:space="preserve"> ciągłoś</w:t>
      </w:r>
      <w:r w:rsidR="00942FC4" w:rsidRPr="00A64EE6">
        <w:rPr>
          <w:rFonts w:ascii="Times New Roman" w:hAnsi="Times New Roman" w:cs="Times New Roman"/>
          <w:sz w:val="24"/>
          <w:szCs w:val="24"/>
        </w:rPr>
        <w:t>ć</w:t>
      </w:r>
      <w:r w:rsidRPr="00A64EE6">
        <w:rPr>
          <w:rFonts w:ascii="Times New Roman" w:hAnsi="Times New Roman" w:cs="Times New Roman"/>
          <w:sz w:val="24"/>
          <w:szCs w:val="24"/>
        </w:rPr>
        <w:t xml:space="preserve"> zrównoważonej gospodarki leśnej na czas trwania stanu epidemii COVID-19 oraz po nim. Projekt ustawy określa definicję drewna energetycznego, która pozwoli kontynuować, podczas trwania epidemii, jak i po niej, zrównoważony rozwój naszego kraju w obszarze odnawialnych źródeł energii poprzez zwiększenie podaży biomasy leśnej oraz wykorzystanie w tym obszarze produktów powstałych z drewna lub będących efektem jego przetworzenia.</w:t>
      </w:r>
      <w:r w:rsidR="001668D5" w:rsidRPr="00A64EE6">
        <w:rPr>
          <w:rFonts w:ascii="Times New Roman" w:hAnsi="Times New Roman" w:cs="Times New Roman"/>
          <w:sz w:val="24"/>
          <w:szCs w:val="24"/>
        </w:rPr>
        <w:t xml:space="preserve"> Dlatego</w:t>
      </w:r>
      <w:r w:rsidRPr="00A64EE6">
        <w:rPr>
          <w:rFonts w:ascii="Times New Roman" w:hAnsi="Times New Roman" w:cs="Times New Roman"/>
          <w:sz w:val="24"/>
          <w:szCs w:val="24"/>
        </w:rPr>
        <w:t xml:space="preserve"> projekt przewiduje czasową zmianę definicji drewna energetycznego zawartej w ustawie o OZE. </w:t>
      </w:r>
    </w:p>
    <w:p w14:paraId="164F9451" w14:textId="29C70E2B" w:rsidR="001E4763" w:rsidRPr="00A64EE6" w:rsidRDefault="001E4763" w:rsidP="001E4763">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 projekcie ustawy dodaje się art. 184e wprowadzający definicję drewna energetycznego. Przepis ten ma charakter epizodyczny</w:t>
      </w:r>
      <w:r w:rsidR="001668D5" w:rsidRPr="00A64EE6">
        <w:rPr>
          <w:rFonts w:ascii="Times New Roman" w:hAnsi="Times New Roman" w:cs="Times New Roman"/>
          <w:sz w:val="24"/>
          <w:szCs w:val="24"/>
        </w:rPr>
        <w:t>. T</w:t>
      </w:r>
      <w:r w:rsidRPr="00A64EE6">
        <w:rPr>
          <w:rFonts w:ascii="Times New Roman" w:hAnsi="Times New Roman" w:cs="Times New Roman"/>
          <w:sz w:val="24"/>
          <w:szCs w:val="24"/>
        </w:rPr>
        <w:t>ermin jego wejścia w życie został określony konkretną datą, tj.</w:t>
      </w:r>
      <w:r w:rsidR="001668D5" w:rsidRPr="00A64EE6">
        <w:rPr>
          <w:rFonts w:ascii="Times New Roman" w:hAnsi="Times New Roman" w:cs="Times New Roman"/>
          <w:sz w:val="24"/>
          <w:szCs w:val="24"/>
        </w:rPr>
        <w:t xml:space="preserve"> 1 lipca </w:t>
      </w:r>
      <w:r w:rsidRPr="00A64EE6">
        <w:rPr>
          <w:rFonts w:ascii="Times New Roman" w:hAnsi="Times New Roman" w:cs="Times New Roman"/>
          <w:sz w:val="24"/>
          <w:szCs w:val="24"/>
        </w:rPr>
        <w:t>2020 r.</w:t>
      </w:r>
      <w:r w:rsidR="001668D5" w:rsidRPr="00A64EE6">
        <w:rPr>
          <w:rFonts w:ascii="Times New Roman" w:hAnsi="Times New Roman" w:cs="Times New Roman"/>
          <w:sz w:val="24"/>
          <w:szCs w:val="24"/>
        </w:rPr>
        <w:t xml:space="preserve"> U</w:t>
      </w:r>
      <w:r w:rsidRPr="00A64EE6">
        <w:rPr>
          <w:rFonts w:ascii="Times New Roman" w:hAnsi="Times New Roman" w:cs="Times New Roman"/>
          <w:sz w:val="24"/>
          <w:szCs w:val="24"/>
        </w:rPr>
        <w:t xml:space="preserve">traci </w:t>
      </w:r>
      <w:r w:rsidR="001668D5" w:rsidRPr="00A64EE6">
        <w:rPr>
          <w:rFonts w:ascii="Times New Roman" w:hAnsi="Times New Roman" w:cs="Times New Roman"/>
          <w:sz w:val="24"/>
          <w:szCs w:val="24"/>
        </w:rPr>
        <w:t xml:space="preserve">on </w:t>
      </w:r>
      <w:r w:rsidRPr="00A64EE6">
        <w:rPr>
          <w:rFonts w:ascii="Times New Roman" w:hAnsi="Times New Roman" w:cs="Times New Roman"/>
          <w:sz w:val="24"/>
          <w:szCs w:val="24"/>
        </w:rPr>
        <w:t>moc obowiąz</w:t>
      </w:r>
      <w:r w:rsidR="001668D5" w:rsidRPr="00A64EE6">
        <w:rPr>
          <w:rFonts w:ascii="Times New Roman" w:hAnsi="Times New Roman" w:cs="Times New Roman"/>
          <w:sz w:val="24"/>
          <w:szCs w:val="24"/>
        </w:rPr>
        <w:t>ującą</w:t>
      </w:r>
      <w:r w:rsidRPr="00A64EE6">
        <w:rPr>
          <w:rFonts w:ascii="Times New Roman" w:hAnsi="Times New Roman" w:cs="Times New Roman"/>
          <w:sz w:val="24"/>
          <w:szCs w:val="24"/>
        </w:rPr>
        <w:t xml:space="preserve"> z dniem 31</w:t>
      </w:r>
      <w:r w:rsidR="001668D5" w:rsidRPr="00A64EE6">
        <w:rPr>
          <w:rFonts w:ascii="Times New Roman" w:hAnsi="Times New Roman" w:cs="Times New Roman"/>
          <w:sz w:val="24"/>
          <w:szCs w:val="24"/>
        </w:rPr>
        <w:t xml:space="preserve"> grudnia </w:t>
      </w:r>
      <w:r w:rsidRPr="00A64EE6">
        <w:rPr>
          <w:rFonts w:ascii="Times New Roman" w:hAnsi="Times New Roman" w:cs="Times New Roman"/>
          <w:sz w:val="24"/>
          <w:szCs w:val="24"/>
        </w:rPr>
        <w:t>2021 r.</w:t>
      </w:r>
    </w:p>
    <w:p w14:paraId="1B35B6FE" w14:textId="4312AC5A" w:rsidR="00823999" w:rsidRPr="00A64EE6" w:rsidRDefault="00823999" w:rsidP="00823999">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Dodatkowo, w związku z czasowym obowiązywaniem art. 184e oraz 184f projektowanej ustawy, konieczne jest określenie przepisów, według których rozpatrywane będą wnioski odnoszące się do drewna energetycznego po upływie terminu obowiązywania ww. przepisów.  Zaproponowany przepis przejściowy umożliwi rozpatrywanie zarówno Prezesowi U</w:t>
      </w:r>
      <w:r w:rsidR="001668D5" w:rsidRPr="00A64EE6">
        <w:rPr>
          <w:rFonts w:ascii="Times New Roman" w:hAnsi="Times New Roman" w:cs="Times New Roman"/>
          <w:sz w:val="24"/>
          <w:szCs w:val="24"/>
        </w:rPr>
        <w:t xml:space="preserve">rzędu </w:t>
      </w:r>
      <w:r w:rsidRPr="00A64EE6">
        <w:rPr>
          <w:rFonts w:ascii="Times New Roman" w:hAnsi="Times New Roman" w:cs="Times New Roman"/>
          <w:sz w:val="24"/>
          <w:szCs w:val="24"/>
        </w:rPr>
        <w:t>R</w:t>
      </w:r>
      <w:r w:rsidR="001668D5" w:rsidRPr="00A64EE6">
        <w:rPr>
          <w:rFonts w:ascii="Times New Roman" w:hAnsi="Times New Roman" w:cs="Times New Roman"/>
          <w:sz w:val="24"/>
          <w:szCs w:val="24"/>
        </w:rPr>
        <w:t xml:space="preserve">egulacji </w:t>
      </w:r>
      <w:r w:rsidRPr="00A64EE6">
        <w:rPr>
          <w:rFonts w:ascii="Times New Roman" w:hAnsi="Times New Roman" w:cs="Times New Roman"/>
          <w:sz w:val="24"/>
          <w:szCs w:val="24"/>
        </w:rPr>
        <w:t>E</w:t>
      </w:r>
      <w:r w:rsidR="001668D5" w:rsidRPr="00A64EE6">
        <w:rPr>
          <w:rFonts w:ascii="Times New Roman" w:hAnsi="Times New Roman" w:cs="Times New Roman"/>
          <w:sz w:val="24"/>
          <w:szCs w:val="24"/>
        </w:rPr>
        <w:t>nergetyki</w:t>
      </w:r>
      <w:r w:rsidRPr="00A64EE6">
        <w:rPr>
          <w:rFonts w:ascii="Times New Roman" w:hAnsi="Times New Roman" w:cs="Times New Roman"/>
          <w:sz w:val="24"/>
          <w:szCs w:val="24"/>
        </w:rPr>
        <w:t xml:space="preserve"> wniosków o wydanie świadectwa pochodzenia, jak również Zarządcy Rozliczeń S</w:t>
      </w:r>
      <w:r w:rsidR="001668D5" w:rsidRPr="00A64EE6">
        <w:rPr>
          <w:rFonts w:ascii="Times New Roman" w:hAnsi="Times New Roman" w:cs="Times New Roman"/>
          <w:sz w:val="24"/>
          <w:szCs w:val="24"/>
        </w:rPr>
        <w:t>.</w:t>
      </w:r>
      <w:r w:rsidRPr="00A64EE6">
        <w:rPr>
          <w:rFonts w:ascii="Times New Roman" w:hAnsi="Times New Roman" w:cs="Times New Roman"/>
          <w:sz w:val="24"/>
          <w:szCs w:val="24"/>
        </w:rPr>
        <w:t>A</w:t>
      </w:r>
      <w:r w:rsidR="001668D5" w:rsidRPr="00A64EE6">
        <w:rPr>
          <w:rFonts w:ascii="Times New Roman" w:hAnsi="Times New Roman" w:cs="Times New Roman"/>
          <w:sz w:val="24"/>
          <w:szCs w:val="24"/>
        </w:rPr>
        <w:t>.</w:t>
      </w:r>
      <w:r w:rsidRPr="00A64EE6">
        <w:rPr>
          <w:rFonts w:ascii="Times New Roman" w:hAnsi="Times New Roman" w:cs="Times New Roman"/>
          <w:sz w:val="24"/>
          <w:szCs w:val="24"/>
        </w:rPr>
        <w:t>, wykonującemu zadania operatora rozliczeń energii odnawialnej, wniosków o</w:t>
      </w:r>
      <w:r w:rsidR="001668D5" w:rsidRPr="00A64EE6">
        <w:rPr>
          <w:rFonts w:ascii="Times New Roman" w:hAnsi="Times New Roman" w:cs="Times New Roman"/>
          <w:sz w:val="24"/>
          <w:szCs w:val="24"/>
        </w:rPr>
        <w:t> </w:t>
      </w:r>
      <w:r w:rsidRPr="00A64EE6">
        <w:rPr>
          <w:rFonts w:ascii="Times New Roman" w:hAnsi="Times New Roman" w:cs="Times New Roman"/>
          <w:sz w:val="24"/>
          <w:szCs w:val="24"/>
        </w:rPr>
        <w:t>wypłatę ujemnego salda, dla energii elektrycznej wytworzonej z drewna energetycznego od</w:t>
      </w:r>
      <w:r w:rsidR="001668D5" w:rsidRPr="00A64EE6">
        <w:rPr>
          <w:rFonts w:ascii="Times New Roman" w:hAnsi="Times New Roman" w:cs="Times New Roman"/>
          <w:sz w:val="24"/>
          <w:szCs w:val="24"/>
        </w:rPr>
        <w:t> </w:t>
      </w:r>
      <w:r w:rsidRPr="00A64EE6">
        <w:rPr>
          <w:rFonts w:ascii="Times New Roman" w:hAnsi="Times New Roman" w:cs="Times New Roman"/>
          <w:sz w:val="24"/>
          <w:szCs w:val="24"/>
        </w:rPr>
        <w:t xml:space="preserve">dnia 1 lipca 2020 r. do </w:t>
      </w:r>
      <w:r w:rsidR="001668D5" w:rsidRPr="00A64EE6">
        <w:rPr>
          <w:rFonts w:ascii="Times New Roman" w:hAnsi="Times New Roman" w:cs="Times New Roman"/>
          <w:sz w:val="24"/>
          <w:szCs w:val="24"/>
        </w:rPr>
        <w:t xml:space="preserve">dnia </w:t>
      </w:r>
      <w:r w:rsidRPr="00A64EE6">
        <w:rPr>
          <w:rFonts w:ascii="Times New Roman" w:hAnsi="Times New Roman" w:cs="Times New Roman"/>
          <w:sz w:val="24"/>
          <w:szCs w:val="24"/>
        </w:rPr>
        <w:t>31 grudnia 2021 r.</w:t>
      </w:r>
    </w:p>
    <w:p w14:paraId="6D092712" w14:textId="3A995B3A"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Jednocześnie</w:t>
      </w:r>
      <w:r w:rsidR="00CB5AFE" w:rsidRPr="00A64EE6">
        <w:rPr>
          <w:rFonts w:ascii="Times New Roman" w:hAnsi="Times New Roman" w:cs="Times New Roman"/>
          <w:sz w:val="24"/>
          <w:szCs w:val="24"/>
        </w:rPr>
        <w:t xml:space="preserve"> w ustawie o OZE</w:t>
      </w:r>
      <w:r w:rsidRPr="00A64EE6">
        <w:rPr>
          <w:rFonts w:ascii="Times New Roman" w:hAnsi="Times New Roman" w:cs="Times New Roman"/>
          <w:sz w:val="24"/>
          <w:szCs w:val="24"/>
        </w:rPr>
        <w:t xml:space="preserve"> wyraźnie wskazane zostanie, iż drewnem energetycznym nie mogą być</w:t>
      </w:r>
      <w:r w:rsidR="005521BA" w:rsidRPr="00A64EE6">
        <w:rPr>
          <w:rFonts w:ascii="Times New Roman" w:hAnsi="Times New Roman" w:cs="Times New Roman"/>
          <w:sz w:val="24"/>
          <w:szCs w:val="24"/>
        </w:rPr>
        <w:t xml:space="preserve"> dłużyce,</w:t>
      </w:r>
      <w:r w:rsidRPr="00A64EE6">
        <w:rPr>
          <w:rFonts w:ascii="Times New Roman" w:hAnsi="Times New Roman" w:cs="Times New Roman"/>
          <w:sz w:val="24"/>
          <w:szCs w:val="24"/>
        </w:rPr>
        <w:t xml:space="preserve"> kłody tartaczne i kłody skrawane, co skutkuje wyeliminowaniem z zakresu zainteresowania przemysłu energetycznego drewna, które co do zasady uznać można za tzw. </w:t>
      </w:r>
      <w:r w:rsidRPr="00A64EE6">
        <w:rPr>
          <w:rFonts w:ascii="Times New Roman" w:hAnsi="Times New Roman" w:cs="Times New Roman"/>
          <w:sz w:val="24"/>
          <w:szCs w:val="24"/>
        </w:rPr>
        <w:lastRenderedPageBreak/>
        <w:t>drewno pełnowartościowe w rozumieniu nieobowiązującego już rozporządzenia Ministra Gospodarki z dnia 18 października 2012 r</w:t>
      </w:r>
      <w:r w:rsidR="001668D5" w:rsidRPr="00A64EE6">
        <w:rPr>
          <w:rFonts w:ascii="Times New Roman" w:hAnsi="Times New Roman" w:cs="Times New Roman"/>
          <w:sz w:val="24"/>
          <w:szCs w:val="24"/>
        </w:rPr>
        <w:t>.</w:t>
      </w:r>
      <w:r w:rsidRPr="00A64EE6">
        <w:rPr>
          <w:rFonts w:ascii="Times New Roman" w:hAnsi="Times New Roman" w:cs="Times New Roman"/>
          <w:sz w:val="24"/>
          <w:szCs w:val="24"/>
        </w:rPr>
        <w:t xml:space="preserve"> w sprawie szczegółowego zakresu obowiązków uzyskania i przedstawienia do umorzenia świadectw pochodzenia, uiszczenia opłaty zastępczej, zakupu energii elektrycznej i ciepła wytworzonych w odnawialnych źródłach energii oraz obowiązku potwierdzania danych dotyczących ilości energii elektrycznej wytworzonej w</w:t>
      </w:r>
      <w:r w:rsidR="006E72FA" w:rsidRPr="00A64EE6">
        <w:rPr>
          <w:rFonts w:ascii="Times New Roman" w:hAnsi="Times New Roman" w:cs="Times New Roman"/>
          <w:sz w:val="24"/>
          <w:szCs w:val="24"/>
        </w:rPr>
        <w:t> </w:t>
      </w:r>
      <w:r w:rsidRPr="00A64EE6">
        <w:rPr>
          <w:rFonts w:ascii="Times New Roman" w:hAnsi="Times New Roman" w:cs="Times New Roman"/>
          <w:sz w:val="24"/>
          <w:szCs w:val="24"/>
        </w:rPr>
        <w:t>odnawialnym źródle energii (Dz. U</w:t>
      </w:r>
      <w:r w:rsidR="0006494F" w:rsidRPr="00A64EE6">
        <w:rPr>
          <w:rFonts w:ascii="Times New Roman" w:hAnsi="Times New Roman" w:cs="Times New Roman"/>
          <w:sz w:val="24"/>
          <w:szCs w:val="24"/>
        </w:rPr>
        <w:t>.</w:t>
      </w:r>
      <w:r w:rsidRPr="00A64EE6">
        <w:rPr>
          <w:rFonts w:ascii="Times New Roman" w:hAnsi="Times New Roman" w:cs="Times New Roman"/>
          <w:sz w:val="24"/>
          <w:szCs w:val="24"/>
        </w:rPr>
        <w:t xml:space="preserve"> </w:t>
      </w:r>
      <w:r w:rsidR="0006494F" w:rsidRPr="00A64EE6">
        <w:rPr>
          <w:rFonts w:ascii="Times New Roman" w:hAnsi="Times New Roman" w:cs="Times New Roman"/>
          <w:sz w:val="24"/>
          <w:szCs w:val="24"/>
        </w:rPr>
        <w:t>poz. 1229</w:t>
      </w:r>
      <w:r w:rsidRPr="00A64EE6">
        <w:rPr>
          <w:rFonts w:ascii="Times New Roman" w:hAnsi="Times New Roman" w:cs="Times New Roman"/>
          <w:sz w:val="24"/>
          <w:szCs w:val="24"/>
        </w:rPr>
        <w:t xml:space="preserve"> z</w:t>
      </w:r>
      <w:r w:rsidR="0006494F" w:rsidRPr="00A64EE6">
        <w:rPr>
          <w:rFonts w:ascii="Times New Roman" w:hAnsi="Times New Roman" w:cs="Times New Roman"/>
          <w:sz w:val="24"/>
          <w:szCs w:val="24"/>
        </w:rPr>
        <w:t xml:space="preserve"> </w:t>
      </w:r>
      <w:proofErr w:type="spellStart"/>
      <w:r w:rsidR="0006494F" w:rsidRPr="00A64EE6">
        <w:rPr>
          <w:rFonts w:ascii="Times New Roman" w:hAnsi="Times New Roman" w:cs="Times New Roman"/>
          <w:sz w:val="24"/>
          <w:szCs w:val="24"/>
        </w:rPr>
        <w:t>późn</w:t>
      </w:r>
      <w:proofErr w:type="spellEnd"/>
      <w:r w:rsidRPr="00A64EE6">
        <w:rPr>
          <w:rFonts w:ascii="Times New Roman" w:hAnsi="Times New Roman" w:cs="Times New Roman"/>
          <w:sz w:val="24"/>
          <w:szCs w:val="24"/>
        </w:rPr>
        <w:t xml:space="preserve">. zm.). </w:t>
      </w:r>
      <w:r w:rsidR="001668D5" w:rsidRPr="00A64EE6">
        <w:rPr>
          <w:rFonts w:ascii="Times New Roman" w:hAnsi="Times New Roman" w:cs="Times New Roman"/>
          <w:sz w:val="24"/>
          <w:szCs w:val="24"/>
        </w:rPr>
        <w:t xml:space="preserve">Przepis </w:t>
      </w:r>
      <w:r w:rsidRPr="00A64EE6">
        <w:rPr>
          <w:rFonts w:ascii="Times New Roman" w:hAnsi="Times New Roman" w:cs="Times New Roman"/>
          <w:sz w:val="24"/>
          <w:szCs w:val="24"/>
        </w:rPr>
        <w:t xml:space="preserve">§ 2 pkt 7 </w:t>
      </w:r>
      <w:r w:rsidR="00CB5AFE" w:rsidRPr="00A64EE6">
        <w:rPr>
          <w:rFonts w:ascii="Times New Roman" w:hAnsi="Times New Roman" w:cs="Times New Roman"/>
          <w:sz w:val="24"/>
          <w:szCs w:val="24"/>
        </w:rPr>
        <w:t xml:space="preserve">wskazanego </w:t>
      </w:r>
      <w:r w:rsidRPr="00A64EE6">
        <w:rPr>
          <w:rFonts w:ascii="Times New Roman" w:hAnsi="Times New Roman" w:cs="Times New Roman"/>
          <w:sz w:val="24"/>
          <w:szCs w:val="24"/>
        </w:rPr>
        <w:t xml:space="preserve">rozporządzenia określał, że drewno pełnowartościowe to drewno spełniające wymagania jakościowe określone w normach określających wymagania i badania dla drewna wielkowymiarowego liściastego, drewna wielkowymiarowego iglastego oraz drewna średniowymiarowego dla grup oznaczonych jako S1, S2 i S3 oraz materiał drzewny powstały w wyniku procesu celowego rozdrobnienia tego drewna. Dopełnieniem powyższej definicji był </w:t>
      </w:r>
      <w:r w:rsidR="0054197C" w:rsidRPr="00A64EE6">
        <w:rPr>
          <w:rFonts w:ascii="Times New Roman" w:hAnsi="Times New Roman" w:cs="Times New Roman"/>
          <w:sz w:val="24"/>
          <w:szCs w:val="24"/>
        </w:rPr>
        <w:t>prze</w:t>
      </w:r>
      <w:r w:rsidRPr="00A64EE6">
        <w:rPr>
          <w:rFonts w:ascii="Times New Roman" w:hAnsi="Times New Roman" w:cs="Times New Roman"/>
          <w:sz w:val="24"/>
          <w:szCs w:val="24"/>
        </w:rPr>
        <w:t>pis § 6 ust. 7, zgodnie z którym energii elektrycznej i ciepła wytworzonego z drewna pełnowartościowego nie zaliczało się do wypełnienia obowiązków związanych ze</w:t>
      </w:r>
      <w:r w:rsidR="006E72FA" w:rsidRPr="00A64EE6">
        <w:rPr>
          <w:rFonts w:ascii="Times New Roman" w:hAnsi="Times New Roman" w:cs="Times New Roman"/>
          <w:sz w:val="24"/>
          <w:szCs w:val="24"/>
        </w:rPr>
        <w:t> </w:t>
      </w:r>
      <w:r w:rsidRPr="00A64EE6">
        <w:rPr>
          <w:rFonts w:ascii="Times New Roman" w:hAnsi="Times New Roman" w:cs="Times New Roman"/>
          <w:sz w:val="24"/>
          <w:szCs w:val="24"/>
        </w:rPr>
        <w:t>wsparciem wytwarzania energii ze źródeł odnawialnych. Innymi słowy, energia lub ciepło z</w:t>
      </w:r>
      <w:r w:rsidR="001668D5" w:rsidRPr="00A64EE6">
        <w:rPr>
          <w:rFonts w:ascii="Times New Roman" w:hAnsi="Times New Roman" w:cs="Times New Roman"/>
          <w:sz w:val="24"/>
          <w:szCs w:val="24"/>
        </w:rPr>
        <w:t> </w:t>
      </w:r>
      <w:r w:rsidRPr="00A64EE6">
        <w:rPr>
          <w:rFonts w:ascii="Times New Roman" w:hAnsi="Times New Roman" w:cs="Times New Roman"/>
          <w:sz w:val="24"/>
          <w:szCs w:val="24"/>
        </w:rPr>
        <w:t>drewna pełnowartościowego nie były traktowane jako energia lub ciepło wytworzone w</w:t>
      </w:r>
      <w:r w:rsidR="006E72FA" w:rsidRPr="00A64EE6">
        <w:rPr>
          <w:rFonts w:ascii="Times New Roman" w:hAnsi="Times New Roman" w:cs="Times New Roman"/>
          <w:sz w:val="24"/>
          <w:szCs w:val="24"/>
        </w:rPr>
        <w:t> </w:t>
      </w:r>
      <w:r w:rsidRPr="00A64EE6">
        <w:rPr>
          <w:rFonts w:ascii="Times New Roman" w:hAnsi="Times New Roman" w:cs="Times New Roman"/>
          <w:sz w:val="24"/>
          <w:szCs w:val="24"/>
        </w:rPr>
        <w:t xml:space="preserve">źródłach odnawialnych i tym samym pozbawione wsparcia w postaci świadectw pochodzenia. </w:t>
      </w:r>
    </w:p>
    <w:p w14:paraId="132CC58B"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Przeniesienie tego mechanizmu do definicji drewna energetycznego sprawi, iż za drewno energetyczne uznany będzie materiał drzewny stanowiący:</w:t>
      </w:r>
    </w:p>
    <w:p w14:paraId="37A31D78"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t>
      </w:r>
      <w:r w:rsidRPr="00A64EE6">
        <w:rPr>
          <w:rFonts w:ascii="Times New Roman" w:hAnsi="Times New Roman" w:cs="Times New Roman"/>
          <w:sz w:val="24"/>
          <w:szCs w:val="24"/>
        </w:rPr>
        <w:tab/>
        <w:t xml:space="preserve">drewno małowymiarowe, </w:t>
      </w:r>
    </w:p>
    <w:p w14:paraId="07AE5260"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t>
      </w:r>
      <w:r w:rsidRPr="00A64EE6">
        <w:rPr>
          <w:rFonts w:ascii="Times New Roman" w:hAnsi="Times New Roman" w:cs="Times New Roman"/>
          <w:sz w:val="24"/>
          <w:szCs w:val="24"/>
        </w:rPr>
        <w:tab/>
        <w:t>chrust,</w:t>
      </w:r>
    </w:p>
    <w:p w14:paraId="459ACED1"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t>
      </w:r>
      <w:r w:rsidRPr="00A64EE6">
        <w:rPr>
          <w:rFonts w:ascii="Times New Roman" w:hAnsi="Times New Roman" w:cs="Times New Roman"/>
          <w:sz w:val="24"/>
          <w:szCs w:val="24"/>
        </w:rPr>
        <w:tab/>
        <w:t xml:space="preserve">igliwie i liście, </w:t>
      </w:r>
    </w:p>
    <w:p w14:paraId="5EFD0CA1"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t>
      </w:r>
      <w:r w:rsidRPr="00A64EE6">
        <w:rPr>
          <w:rFonts w:ascii="Times New Roman" w:hAnsi="Times New Roman" w:cs="Times New Roman"/>
          <w:sz w:val="24"/>
          <w:szCs w:val="24"/>
        </w:rPr>
        <w:tab/>
        <w:t xml:space="preserve">korę, </w:t>
      </w:r>
    </w:p>
    <w:p w14:paraId="2CDA5B20"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t>
      </w:r>
      <w:r w:rsidRPr="00A64EE6">
        <w:rPr>
          <w:rFonts w:ascii="Times New Roman" w:hAnsi="Times New Roman" w:cs="Times New Roman"/>
          <w:sz w:val="24"/>
          <w:szCs w:val="24"/>
        </w:rPr>
        <w:tab/>
        <w:t xml:space="preserve">korzenie i karpy,  </w:t>
      </w:r>
    </w:p>
    <w:p w14:paraId="4FE69DE9"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w:t>
      </w:r>
      <w:r w:rsidRPr="00A64EE6">
        <w:rPr>
          <w:rFonts w:ascii="Times New Roman" w:hAnsi="Times New Roman" w:cs="Times New Roman"/>
          <w:sz w:val="24"/>
          <w:szCs w:val="24"/>
        </w:rPr>
        <w:tab/>
        <w:t>drewno o minimalnej średnicy w górnym końcu wynoszącej co najmniej 7 cm w korze, który ze względu na cechy jakościowe nie jest zaliczany do drewna użytkowego.</w:t>
      </w:r>
    </w:p>
    <w:p w14:paraId="5D44D1D4" w14:textId="77777777"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Potencjalne łączne zasoby drewna małowymiarowego i pozostałości drzewnych w 2018 r. wyniosły ok. 1,8 mln m³. Przewiduje się, że wielkość ta będzie utrzymywała się w najbliższych latach na podobnym poziomie. Do wolumenu tego dodać należy ponadto surowiec drzewny (bez względu na jego klasyfikację) pochodzący z obszarów zamierania drzewostanów, jak również uszkodzony przez wiatr i inne czynniki, który nie znalazł nabywców i który  z uwagi na brak możliwości zakwalifikowania go jako drewna tartacznego i skrawanego może stanowić materiał uznawany za drewno energetyczne.</w:t>
      </w:r>
    </w:p>
    <w:p w14:paraId="34329838" w14:textId="572E0EAE"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 xml:space="preserve">Mając na uwadze konieczność uwzględnienia surowca drzewnego pochodzącego ze źródeł innych niż leśnictwo, a zatem obejmujących chociażby uprawy drzewiastych roślin </w:t>
      </w:r>
      <w:r w:rsidRPr="00A64EE6">
        <w:rPr>
          <w:rFonts w:ascii="Times New Roman" w:hAnsi="Times New Roman" w:cs="Times New Roman"/>
          <w:sz w:val="24"/>
          <w:szCs w:val="24"/>
        </w:rPr>
        <w:lastRenderedPageBreak/>
        <w:t xml:space="preserve">energetycznych czy też pozostałości po sadownictwie, zaproponowano </w:t>
      </w:r>
      <w:r w:rsidR="0054197C" w:rsidRPr="00A64EE6">
        <w:rPr>
          <w:rFonts w:ascii="Times New Roman" w:hAnsi="Times New Roman" w:cs="Times New Roman"/>
          <w:sz w:val="24"/>
          <w:szCs w:val="24"/>
        </w:rPr>
        <w:t>prze</w:t>
      </w:r>
      <w:r w:rsidRPr="00A64EE6">
        <w:rPr>
          <w:rFonts w:ascii="Times New Roman" w:hAnsi="Times New Roman" w:cs="Times New Roman"/>
          <w:sz w:val="24"/>
          <w:szCs w:val="24"/>
        </w:rPr>
        <w:t>pis, który – z uwagi na brak wskazania konkretnych źródeł pochodzenia materiału drzewnego – pozwala na</w:t>
      </w:r>
      <w:r w:rsidR="006E72FA" w:rsidRPr="00A64EE6">
        <w:rPr>
          <w:rFonts w:ascii="Times New Roman" w:hAnsi="Times New Roman" w:cs="Times New Roman"/>
          <w:sz w:val="24"/>
          <w:szCs w:val="24"/>
        </w:rPr>
        <w:t> </w:t>
      </w:r>
      <w:r w:rsidRPr="00A64EE6">
        <w:rPr>
          <w:rFonts w:ascii="Times New Roman" w:hAnsi="Times New Roman" w:cs="Times New Roman"/>
          <w:sz w:val="24"/>
          <w:szCs w:val="24"/>
        </w:rPr>
        <w:t xml:space="preserve">realizację tego założenia. Ponadto zaproponowany </w:t>
      </w:r>
      <w:r w:rsidR="0054197C" w:rsidRPr="00A64EE6">
        <w:rPr>
          <w:rFonts w:ascii="Times New Roman" w:hAnsi="Times New Roman" w:cs="Times New Roman"/>
          <w:sz w:val="24"/>
          <w:szCs w:val="24"/>
        </w:rPr>
        <w:t>prze</w:t>
      </w:r>
      <w:r w:rsidRPr="00A64EE6">
        <w:rPr>
          <w:rFonts w:ascii="Times New Roman" w:hAnsi="Times New Roman" w:cs="Times New Roman"/>
          <w:sz w:val="24"/>
          <w:szCs w:val="24"/>
        </w:rPr>
        <w:t>pis umożliwi także wykorzystanie – jako OZE – każdego innego rodzaju drewna, które nie będzie drewnem tartacznym i</w:t>
      </w:r>
      <w:r w:rsidR="006E72FA" w:rsidRPr="00A64EE6">
        <w:rPr>
          <w:rFonts w:ascii="Times New Roman" w:hAnsi="Times New Roman" w:cs="Times New Roman"/>
          <w:sz w:val="24"/>
          <w:szCs w:val="24"/>
        </w:rPr>
        <w:t> </w:t>
      </w:r>
      <w:r w:rsidRPr="00A64EE6">
        <w:rPr>
          <w:rFonts w:ascii="Times New Roman" w:hAnsi="Times New Roman" w:cs="Times New Roman"/>
          <w:sz w:val="24"/>
          <w:szCs w:val="24"/>
        </w:rPr>
        <w:t>skrawanym, pozyskanego w przypadku m.in. usuwania drzew przy drogach publicznych</w:t>
      </w:r>
      <w:r w:rsidR="001668D5" w:rsidRPr="00A64EE6">
        <w:rPr>
          <w:rFonts w:ascii="Times New Roman" w:hAnsi="Times New Roman" w:cs="Times New Roman"/>
          <w:sz w:val="24"/>
          <w:szCs w:val="24"/>
        </w:rPr>
        <w:t>,</w:t>
      </w:r>
      <w:r w:rsidRPr="00A64EE6">
        <w:rPr>
          <w:rFonts w:ascii="Times New Roman" w:hAnsi="Times New Roman" w:cs="Times New Roman"/>
          <w:sz w:val="24"/>
          <w:szCs w:val="24"/>
        </w:rPr>
        <w:t xml:space="preserve"> czy szlakach kolejowych.</w:t>
      </w:r>
    </w:p>
    <w:p w14:paraId="14066CE5" w14:textId="22AB40E3"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 xml:space="preserve">Zgodnie z zasadą ekorozwoju i koncepcją kaskadowego zużycia surowca drzewnego, odpady/produkty uboczne powstające w poszczególnych fazach przerobu drewna (przerób pierwiastkowy i wtórny na materiały drzewne i drzewne wyroby finalne) powinny być „zawracane” do procesu technologicznego (wtórne zużycie produkcyjne), a dopiero w wypadku ich nieprzydatności do tego celu – spalane z odzyskaniem energii. Są one alternatywnym surowcem wobec drewna z lasu, przyczyniając się do jego oszczędności oraz ważnym źródłem energii odnawialnej. Mając to na uwadze, w projekcie ustawy, określa się jako drewno energetyczne również surowiec drzewny występujący jako produkt powstały na skutek przetworzenia drewna, o ile nie jest on zanieczyszczony substancjami, które naturalnie nie występują w drewnie. </w:t>
      </w:r>
    </w:p>
    <w:p w14:paraId="558C4AC8" w14:textId="7900F853"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Przedmiotowy projekt mówi o odpadach i produktach ubocznych powstałych z drewna i</w:t>
      </w:r>
      <w:r w:rsidR="006E72FA" w:rsidRPr="00A64EE6">
        <w:rPr>
          <w:rFonts w:ascii="Times New Roman" w:hAnsi="Times New Roman" w:cs="Times New Roman"/>
          <w:sz w:val="24"/>
          <w:szCs w:val="24"/>
        </w:rPr>
        <w:t> </w:t>
      </w:r>
      <w:r w:rsidRPr="00A64EE6">
        <w:rPr>
          <w:rFonts w:ascii="Times New Roman" w:hAnsi="Times New Roman" w:cs="Times New Roman"/>
          <w:sz w:val="24"/>
          <w:szCs w:val="24"/>
        </w:rPr>
        <w:t xml:space="preserve">produktów z drewna, które podczas procesu ich wytworzenia nie zostały w żadnym stopniu zanieczyszczone substancjami, które naturalnie nie występują w drewnie. Taki </w:t>
      </w:r>
      <w:r w:rsidR="0054197C" w:rsidRPr="00A64EE6">
        <w:rPr>
          <w:rFonts w:ascii="Times New Roman" w:hAnsi="Times New Roman" w:cs="Times New Roman"/>
          <w:sz w:val="24"/>
          <w:szCs w:val="24"/>
        </w:rPr>
        <w:t>prze</w:t>
      </w:r>
      <w:r w:rsidRPr="00A64EE6">
        <w:rPr>
          <w:rFonts w:ascii="Times New Roman" w:hAnsi="Times New Roman" w:cs="Times New Roman"/>
          <w:sz w:val="24"/>
          <w:szCs w:val="24"/>
        </w:rPr>
        <w:t xml:space="preserve">pis pozwala również wykorzystać drewno poużytkowe w różnych formach na cele energetyczne. </w:t>
      </w:r>
    </w:p>
    <w:p w14:paraId="7A460337" w14:textId="77777777" w:rsidR="00D51FB6" w:rsidRPr="00A64EE6" w:rsidRDefault="00D51FB6" w:rsidP="00AA442C">
      <w:pPr>
        <w:spacing w:after="0" w:line="360" w:lineRule="auto"/>
        <w:jc w:val="both"/>
        <w:rPr>
          <w:rFonts w:ascii="Times New Roman" w:hAnsi="Times New Roman" w:cs="Times New Roman"/>
          <w:sz w:val="24"/>
          <w:szCs w:val="24"/>
        </w:rPr>
      </w:pPr>
    </w:p>
    <w:p w14:paraId="4A686960" w14:textId="6AF6466B"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 xml:space="preserve">Projekt ustawy jest zgodny z prawem Unii Europejskiej. </w:t>
      </w:r>
    </w:p>
    <w:p w14:paraId="04F87761" w14:textId="77777777" w:rsidR="00D51FB6" w:rsidRPr="00A64EE6" w:rsidRDefault="00D51FB6" w:rsidP="00AA442C">
      <w:pPr>
        <w:spacing w:after="0" w:line="360" w:lineRule="auto"/>
        <w:jc w:val="both"/>
        <w:rPr>
          <w:rFonts w:ascii="Times New Roman" w:hAnsi="Times New Roman" w:cs="Times New Roman"/>
          <w:sz w:val="24"/>
          <w:szCs w:val="24"/>
        </w:rPr>
      </w:pPr>
    </w:p>
    <w:p w14:paraId="229F6251" w14:textId="6AEE6EDB" w:rsidR="00AA442C" w:rsidRPr="00A64EE6" w:rsidRDefault="00C83AE5"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szCs w:val="24"/>
        </w:rPr>
        <w:t>Projekt ustawy</w:t>
      </w:r>
      <w:r w:rsidR="00AA442C" w:rsidRPr="00A64EE6">
        <w:rPr>
          <w:rFonts w:ascii="Times New Roman" w:hAnsi="Times New Roman" w:cs="Times New Roman"/>
          <w:sz w:val="24"/>
          <w:szCs w:val="24"/>
        </w:rPr>
        <w:t xml:space="preserve"> podlega obowiązkowi notyfikacji zgodnie z zasadami określonymi w</w:t>
      </w:r>
      <w:r w:rsidR="006E72FA" w:rsidRPr="00A64EE6">
        <w:rPr>
          <w:rFonts w:ascii="Times New Roman" w:hAnsi="Times New Roman" w:cs="Times New Roman"/>
          <w:sz w:val="24"/>
          <w:szCs w:val="24"/>
        </w:rPr>
        <w:t> </w:t>
      </w:r>
      <w:r w:rsidR="00AA442C" w:rsidRPr="00A64EE6">
        <w:rPr>
          <w:rFonts w:ascii="Times New Roman" w:hAnsi="Times New Roman" w:cs="Times New Roman"/>
          <w:sz w:val="24"/>
          <w:szCs w:val="24"/>
        </w:rPr>
        <w:t xml:space="preserve">rozporządzeniu Rady Ministrów z dnia 23 grudnia 2002 r. (Dz. U. </w:t>
      </w:r>
      <w:r w:rsidR="00AA442C" w:rsidRPr="00A64EE6">
        <w:rPr>
          <w:rFonts w:ascii="Times New Roman" w:hAnsi="Times New Roman" w:cs="Times New Roman"/>
          <w:sz w:val="24"/>
          <w:szCs w:val="24"/>
        </w:rPr>
        <w:br/>
        <w:t xml:space="preserve">poz. 2039, z </w:t>
      </w:r>
      <w:proofErr w:type="spellStart"/>
      <w:r w:rsidR="00AA442C" w:rsidRPr="00A64EE6">
        <w:rPr>
          <w:rFonts w:ascii="Times New Roman" w:hAnsi="Times New Roman" w:cs="Times New Roman"/>
          <w:sz w:val="24"/>
          <w:szCs w:val="24"/>
        </w:rPr>
        <w:t>późn</w:t>
      </w:r>
      <w:proofErr w:type="spellEnd"/>
      <w:r w:rsidR="00AA442C" w:rsidRPr="00A64EE6">
        <w:rPr>
          <w:rFonts w:ascii="Times New Roman" w:hAnsi="Times New Roman" w:cs="Times New Roman"/>
          <w:sz w:val="24"/>
          <w:szCs w:val="24"/>
        </w:rPr>
        <w:t xml:space="preserve">. zm.) w sprawie sposobu funkcjonowania krajowego systemu notyfikacji norm i aktów prawnych oraz w dyrektywie 2015/1535 Parlamentu Europejskiego i Rady </w:t>
      </w:r>
      <w:r w:rsidR="00AA442C" w:rsidRPr="00A64EE6">
        <w:rPr>
          <w:rFonts w:ascii="Times New Roman" w:hAnsi="Times New Roman" w:cs="Times New Roman"/>
          <w:sz w:val="24"/>
          <w:szCs w:val="24"/>
        </w:rPr>
        <w:br/>
        <w:t>z dnia 9 września 2015 r. ustanawiającej procedurę udzielania informacji w dziedzinie przepisów technicznych oraz zasad dotyczących usług społeczeństwa informacyjnego (Dz. Urz. UE L 241 z 17.09.2015, str. 1).</w:t>
      </w:r>
    </w:p>
    <w:p w14:paraId="4F253280" w14:textId="77777777" w:rsidR="00D51FB6" w:rsidRPr="00A64EE6" w:rsidRDefault="00D51FB6" w:rsidP="00AA442C">
      <w:pPr>
        <w:spacing w:after="0" w:line="360" w:lineRule="auto"/>
        <w:jc w:val="both"/>
        <w:rPr>
          <w:rFonts w:ascii="Times New Roman" w:hAnsi="Times New Roman" w:cs="Times New Roman"/>
          <w:sz w:val="24"/>
          <w:szCs w:val="24"/>
        </w:rPr>
      </w:pPr>
    </w:p>
    <w:p w14:paraId="578B911F" w14:textId="1A573DB9" w:rsidR="00AA442C" w:rsidRPr="00A64EE6" w:rsidRDefault="00AA442C" w:rsidP="00AA442C">
      <w:pPr>
        <w:spacing w:after="0" w:line="360" w:lineRule="auto"/>
        <w:jc w:val="both"/>
        <w:rPr>
          <w:rFonts w:ascii="Times New Roman" w:hAnsi="Times New Roman" w:cs="Times New Roman"/>
          <w:sz w:val="24"/>
          <w:szCs w:val="24"/>
        </w:rPr>
      </w:pPr>
      <w:r w:rsidRPr="00A64EE6">
        <w:rPr>
          <w:rFonts w:ascii="Times New Roman" w:hAnsi="Times New Roman" w:cs="Times New Roman"/>
          <w:sz w:val="24"/>
        </w:rPr>
        <w:t xml:space="preserve">Projekt </w:t>
      </w:r>
      <w:r w:rsidR="00C83AE5" w:rsidRPr="00A64EE6">
        <w:rPr>
          <w:rFonts w:ascii="Times New Roman" w:hAnsi="Times New Roman" w:cs="Times New Roman"/>
          <w:sz w:val="24"/>
        </w:rPr>
        <w:t>ustawy</w:t>
      </w:r>
      <w:r w:rsidR="0054197C" w:rsidRPr="00A64EE6">
        <w:rPr>
          <w:rFonts w:ascii="Times New Roman" w:hAnsi="Times New Roman" w:cs="Times New Roman"/>
          <w:sz w:val="24"/>
        </w:rPr>
        <w:t>,</w:t>
      </w:r>
      <w:r w:rsidRPr="00A64EE6">
        <w:rPr>
          <w:rFonts w:ascii="Times New Roman" w:hAnsi="Times New Roman" w:cs="Times New Roman"/>
          <w:sz w:val="24"/>
        </w:rPr>
        <w:t xml:space="preserve"> zgodnie z art. 7 ustawy z dnia 7 lipca 2005 r. o działalności lobbingowej w</w:t>
      </w:r>
      <w:r w:rsidR="006E72FA" w:rsidRPr="00A64EE6">
        <w:rPr>
          <w:rFonts w:ascii="Times New Roman" w:hAnsi="Times New Roman" w:cs="Times New Roman"/>
          <w:sz w:val="24"/>
        </w:rPr>
        <w:t> </w:t>
      </w:r>
      <w:r w:rsidRPr="00A64EE6">
        <w:rPr>
          <w:rFonts w:ascii="Times New Roman" w:hAnsi="Times New Roman" w:cs="Times New Roman"/>
          <w:sz w:val="24"/>
        </w:rPr>
        <w:t>procesie stanowienia prawa (Dz. U. z 2017 r. poz. 248) zosta</w:t>
      </w:r>
      <w:r w:rsidR="003C4092" w:rsidRPr="00A64EE6">
        <w:rPr>
          <w:rFonts w:ascii="Times New Roman" w:hAnsi="Times New Roman" w:cs="Times New Roman"/>
          <w:sz w:val="24"/>
        </w:rPr>
        <w:t>nie</w:t>
      </w:r>
      <w:r w:rsidRPr="00A64EE6">
        <w:rPr>
          <w:rFonts w:ascii="Times New Roman" w:hAnsi="Times New Roman" w:cs="Times New Roman"/>
          <w:sz w:val="24"/>
        </w:rPr>
        <w:t xml:space="preserve"> udostępniony </w:t>
      </w:r>
      <w:r w:rsidRPr="00A64EE6">
        <w:rPr>
          <w:rFonts w:ascii="Times New Roman" w:hAnsi="Times New Roman" w:cs="Times New Roman"/>
          <w:sz w:val="24"/>
        </w:rPr>
        <w:br/>
      </w:r>
      <w:r w:rsidRPr="00A64EE6">
        <w:rPr>
          <w:rFonts w:ascii="Times New Roman" w:hAnsi="Times New Roman" w:cs="Times New Roman"/>
          <w:sz w:val="24"/>
        </w:rPr>
        <w:lastRenderedPageBreak/>
        <w:t xml:space="preserve">w Biuletynie Informacji Publicznej na stronie podmiotowej Rządowego Centrum Legislacji </w:t>
      </w:r>
      <w:r w:rsidRPr="00A64EE6">
        <w:rPr>
          <w:rFonts w:ascii="Times New Roman" w:hAnsi="Times New Roman" w:cs="Times New Roman"/>
          <w:sz w:val="24"/>
        </w:rPr>
        <w:br/>
        <w:t>w serwisie Rządowy Proces Legislacyjny</w:t>
      </w:r>
      <w:r w:rsidR="003C4092" w:rsidRPr="00A64EE6">
        <w:rPr>
          <w:rFonts w:ascii="Times New Roman" w:hAnsi="Times New Roman" w:cs="Times New Roman"/>
          <w:color w:val="000000" w:themeColor="text1"/>
          <w:sz w:val="24"/>
          <w:szCs w:val="24"/>
        </w:rPr>
        <w:t>.</w:t>
      </w:r>
    </w:p>
    <w:p w14:paraId="204B27FB" w14:textId="0432F4BA" w:rsidR="009E59A7" w:rsidRDefault="00830FEA" w:rsidP="008F1401">
      <w:pPr>
        <w:spacing w:after="0" w:line="360" w:lineRule="auto"/>
        <w:jc w:val="both"/>
        <w:rPr>
          <w:rFonts w:ascii="Times New Roman" w:hAnsi="Times New Roman" w:cs="Times New Roman"/>
          <w:sz w:val="24"/>
        </w:rPr>
      </w:pPr>
      <w:r w:rsidRPr="00A64EE6">
        <w:rPr>
          <w:rFonts w:ascii="Times New Roman" w:hAnsi="Times New Roman" w:cs="Times New Roman"/>
          <w:sz w:val="24"/>
          <w:szCs w:val="24"/>
        </w:rPr>
        <w:t xml:space="preserve">Termin wejścia w życie ustawy </w:t>
      </w:r>
      <w:r w:rsidR="0079284B" w:rsidRPr="00A64EE6">
        <w:rPr>
          <w:rFonts w:ascii="Times New Roman" w:hAnsi="Times New Roman" w:cs="Times New Roman"/>
          <w:sz w:val="24"/>
          <w:szCs w:val="24"/>
        </w:rPr>
        <w:t>został ustalony na konkretny dzień, tj.</w:t>
      </w:r>
      <w:r w:rsidR="00D51FB6" w:rsidRPr="00A64EE6">
        <w:rPr>
          <w:rFonts w:ascii="Times New Roman" w:hAnsi="Times New Roman" w:cs="Times New Roman"/>
          <w:sz w:val="24"/>
          <w:szCs w:val="24"/>
        </w:rPr>
        <w:t xml:space="preserve"> 1 lipca </w:t>
      </w:r>
      <w:r w:rsidR="0079284B" w:rsidRPr="00A64EE6">
        <w:rPr>
          <w:rFonts w:ascii="Times New Roman" w:hAnsi="Times New Roman" w:cs="Times New Roman"/>
          <w:sz w:val="24"/>
          <w:szCs w:val="24"/>
        </w:rPr>
        <w:t>2020 r. Taki termin wejścia w życie</w:t>
      </w:r>
      <w:r w:rsidR="00D51FB6" w:rsidRPr="00A64EE6">
        <w:rPr>
          <w:rFonts w:ascii="Times New Roman" w:hAnsi="Times New Roman" w:cs="Times New Roman"/>
          <w:sz w:val="24"/>
          <w:szCs w:val="24"/>
        </w:rPr>
        <w:t xml:space="preserve"> </w:t>
      </w:r>
      <w:r w:rsidR="0079284B" w:rsidRPr="00A64EE6">
        <w:rPr>
          <w:rFonts w:ascii="Times New Roman" w:hAnsi="Times New Roman" w:cs="Times New Roman"/>
          <w:sz w:val="24"/>
          <w:szCs w:val="24"/>
        </w:rPr>
        <w:t xml:space="preserve">ustawy pozwoli na przeprowadzenie procedury notyfikacji technicznej, jak i </w:t>
      </w:r>
      <w:r w:rsidR="002004CD" w:rsidRPr="00A64EE6">
        <w:rPr>
          <w:rFonts w:ascii="Times New Roman" w:hAnsi="Times New Roman" w:cs="Times New Roman"/>
          <w:sz w:val="24"/>
          <w:szCs w:val="24"/>
        </w:rPr>
        <w:t xml:space="preserve">zapewni </w:t>
      </w:r>
      <w:r w:rsidR="0079284B" w:rsidRPr="00A64EE6">
        <w:rPr>
          <w:rFonts w:ascii="Times New Roman" w:hAnsi="Times New Roman" w:cs="Times New Roman"/>
          <w:sz w:val="24"/>
          <w:szCs w:val="24"/>
        </w:rPr>
        <w:t>czas niezbę</w:t>
      </w:r>
      <w:r w:rsidR="00D51FB6" w:rsidRPr="00A64EE6">
        <w:rPr>
          <w:rFonts w:ascii="Times New Roman" w:hAnsi="Times New Roman" w:cs="Times New Roman"/>
          <w:sz w:val="24"/>
          <w:szCs w:val="24"/>
        </w:rPr>
        <w:t xml:space="preserve">dny </w:t>
      </w:r>
      <w:r w:rsidR="0079284B" w:rsidRPr="00A64EE6">
        <w:rPr>
          <w:rFonts w:ascii="Times New Roman" w:hAnsi="Times New Roman" w:cs="Times New Roman"/>
          <w:sz w:val="24"/>
          <w:szCs w:val="24"/>
        </w:rPr>
        <w:t>na dostosowanie się adresatów przepisów do nowego brzmienia definicji</w:t>
      </w:r>
      <w:r w:rsidR="00D51FB6" w:rsidRPr="00A64EE6">
        <w:rPr>
          <w:rFonts w:ascii="Times New Roman" w:hAnsi="Times New Roman" w:cs="Times New Roman"/>
          <w:sz w:val="24"/>
          <w:szCs w:val="24"/>
        </w:rPr>
        <w:t xml:space="preserve"> drewna energetycznego.</w:t>
      </w:r>
      <w:r w:rsidR="0079284B" w:rsidRPr="0079284B">
        <w:rPr>
          <w:rFonts w:ascii="Times New Roman" w:hAnsi="Times New Roman" w:cs="Times New Roman"/>
          <w:sz w:val="24"/>
          <w:szCs w:val="24"/>
        </w:rPr>
        <w:t xml:space="preserve"> </w:t>
      </w:r>
    </w:p>
    <w:sectPr w:rsidR="009E59A7" w:rsidSect="004159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34AD91" w14:textId="77777777" w:rsidR="00A85062" w:rsidRDefault="00A85062" w:rsidP="00C52C77">
      <w:pPr>
        <w:spacing w:after="0" w:line="240" w:lineRule="auto"/>
      </w:pPr>
      <w:r>
        <w:separator/>
      </w:r>
    </w:p>
  </w:endnote>
  <w:endnote w:type="continuationSeparator" w:id="0">
    <w:p w14:paraId="4060B43C" w14:textId="77777777" w:rsidR="00A85062" w:rsidRDefault="00A85062" w:rsidP="00C5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9041786"/>
      <w:docPartObj>
        <w:docPartGallery w:val="Page Numbers (Bottom of Page)"/>
        <w:docPartUnique/>
      </w:docPartObj>
    </w:sdtPr>
    <w:sdtEndPr/>
    <w:sdtContent>
      <w:p w14:paraId="390F4277" w14:textId="47198884" w:rsidR="00862D7E" w:rsidRDefault="00862D7E">
        <w:pPr>
          <w:pStyle w:val="Stopka"/>
          <w:jc w:val="center"/>
        </w:pPr>
        <w:r>
          <w:fldChar w:fldCharType="begin"/>
        </w:r>
        <w:r>
          <w:instrText>PAGE   \* MERGEFORMAT</w:instrText>
        </w:r>
        <w:r>
          <w:fldChar w:fldCharType="separate"/>
        </w:r>
        <w:r w:rsidR="000017D9">
          <w:rPr>
            <w:noProof/>
          </w:rPr>
          <w:t>2</w:t>
        </w:r>
        <w:r>
          <w:fldChar w:fldCharType="end"/>
        </w:r>
      </w:p>
    </w:sdtContent>
  </w:sdt>
  <w:p w14:paraId="2073CE11" w14:textId="77777777" w:rsidR="00862D7E" w:rsidRDefault="00862D7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3B2E28" w14:textId="77777777" w:rsidR="00A85062" w:rsidRDefault="00A85062" w:rsidP="00C52C77">
      <w:pPr>
        <w:spacing w:after="0" w:line="240" w:lineRule="auto"/>
      </w:pPr>
      <w:r>
        <w:separator/>
      </w:r>
    </w:p>
  </w:footnote>
  <w:footnote w:type="continuationSeparator" w:id="0">
    <w:p w14:paraId="2B3621C9" w14:textId="77777777" w:rsidR="00A85062" w:rsidRDefault="00A85062" w:rsidP="00C52C77">
      <w:pPr>
        <w:spacing w:after="0" w:line="240" w:lineRule="auto"/>
      </w:pPr>
      <w:r>
        <w:continuationSeparator/>
      </w:r>
    </w:p>
  </w:footnote>
  <w:footnote w:id="1">
    <w:p w14:paraId="1D608519" w14:textId="77777777" w:rsidR="007070F5" w:rsidRPr="003600C7" w:rsidRDefault="007070F5" w:rsidP="007070F5">
      <w:pPr>
        <w:pStyle w:val="ODNONIKtreodnonika"/>
      </w:pPr>
      <w:r w:rsidRPr="003600C7">
        <w:rPr>
          <w:rStyle w:val="IGindeksgrny"/>
        </w:rPr>
        <w:footnoteRef/>
      </w:r>
      <w:r w:rsidRPr="003600C7">
        <w:rPr>
          <w:rStyle w:val="IGindeksgrny"/>
        </w:rPr>
        <w:t>)</w:t>
      </w:r>
      <w:r w:rsidRPr="003600C7">
        <w:rPr>
          <w:rStyle w:val="IGindeksgrny"/>
        </w:rPr>
        <w:tab/>
      </w:r>
      <w:r w:rsidRPr="003600C7">
        <w:t>Niniejsza ustawa została notyfikowana Komisji Europejskiej w dniu … pod numerem …, zgodnie z § 4 rozporządzenia Rady Ministrów z dnia 23 grudnia 2002 r. w sprawie sposobu funkcjonowania krajowego systemu notyfikacji norm i aktów prawnych (Dz. U. poz. 2039 oraz z 2004 r. poz. 597), które wdraża dyrektywę (UE) 2015/1535 Parlamentu Europejskiego i Rady z dnia 9 września 2015 r. ustanawiającą procedurę udzielania informacji w dziedzinie przepisów technicznych oraz zasad dotyczących usług społeczeństwa informacyjnego (Dz. Urz. UE L 241 z 17.09.2015, str.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CF6550"/>
    <w:multiLevelType w:val="hybridMultilevel"/>
    <w:tmpl w:val="55C26B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3902E7"/>
    <w:multiLevelType w:val="hybridMultilevel"/>
    <w:tmpl w:val="0656826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C704796"/>
    <w:multiLevelType w:val="hybridMultilevel"/>
    <w:tmpl w:val="8132B8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5C565EF"/>
    <w:multiLevelType w:val="hybridMultilevel"/>
    <w:tmpl w:val="78ACDCD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15:restartNumberingAfterBreak="0">
    <w:nsid w:val="5A855A11"/>
    <w:multiLevelType w:val="hybridMultilevel"/>
    <w:tmpl w:val="7CA0A8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C04CAF"/>
    <w:multiLevelType w:val="hybridMultilevel"/>
    <w:tmpl w:val="194011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9B049B"/>
    <w:multiLevelType w:val="hybridMultilevel"/>
    <w:tmpl w:val="98B834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0"/>
  </w:num>
  <w:num w:numId="6">
    <w:abstractNumId w:val="5"/>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B33"/>
    <w:rsid w:val="000017D9"/>
    <w:rsid w:val="000076C6"/>
    <w:rsid w:val="00036EA7"/>
    <w:rsid w:val="0005083A"/>
    <w:rsid w:val="000553C7"/>
    <w:rsid w:val="0005769B"/>
    <w:rsid w:val="0006494F"/>
    <w:rsid w:val="000936AD"/>
    <w:rsid w:val="000C4C92"/>
    <w:rsid w:val="00104A5F"/>
    <w:rsid w:val="00144551"/>
    <w:rsid w:val="001473AE"/>
    <w:rsid w:val="0016046E"/>
    <w:rsid w:val="00165256"/>
    <w:rsid w:val="001668D5"/>
    <w:rsid w:val="001C6D23"/>
    <w:rsid w:val="001E4763"/>
    <w:rsid w:val="002004CD"/>
    <w:rsid w:val="00205A13"/>
    <w:rsid w:val="0021095F"/>
    <w:rsid w:val="002260DC"/>
    <w:rsid w:val="00227EB8"/>
    <w:rsid w:val="0023287B"/>
    <w:rsid w:val="00233D10"/>
    <w:rsid w:val="00270490"/>
    <w:rsid w:val="00274772"/>
    <w:rsid w:val="002929E7"/>
    <w:rsid w:val="002C2891"/>
    <w:rsid w:val="002C7478"/>
    <w:rsid w:val="002D0090"/>
    <w:rsid w:val="002D31D7"/>
    <w:rsid w:val="002D54F3"/>
    <w:rsid w:val="002F266D"/>
    <w:rsid w:val="003003AA"/>
    <w:rsid w:val="003568B1"/>
    <w:rsid w:val="00356ACF"/>
    <w:rsid w:val="00364679"/>
    <w:rsid w:val="00376BD6"/>
    <w:rsid w:val="003A7B30"/>
    <w:rsid w:val="003C4092"/>
    <w:rsid w:val="00402086"/>
    <w:rsid w:val="00415941"/>
    <w:rsid w:val="00415CA1"/>
    <w:rsid w:val="00426B13"/>
    <w:rsid w:val="00437E86"/>
    <w:rsid w:val="004844EE"/>
    <w:rsid w:val="00490FF8"/>
    <w:rsid w:val="0049119F"/>
    <w:rsid w:val="004B09D6"/>
    <w:rsid w:val="004C0B76"/>
    <w:rsid w:val="004D3D86"/>
    <w:rsid w:val="005137EA"/>
    <w:rsid w:val="00522687"/>
    <w:rsid w:val="005305DE"/>
    <w:rsid w:val="00530B5F"/>
    <w:rsid w:val="0054197C"/>
    <w:rsid w:val="005426E6"/>
    <w:rsid w:val="00544809"/>
    <w:rsid w:val="005521BA"/>
    <w:rsid w:val="00574709"/>
    <w:rsid w:val="00576089"/>
    <w:rsid w:val="00590F1D"/>
    <w:rsid w:val="00591752"/>
    <w:rsid w:val="005A403D"/>
    <w:rsid w:val="005B2811"/>
    <w:rsid w:val="005C63CB"/>
    <w:rsid w:val="005C7BB1"/>
    <w:rsid w:val="00606B44"/>
    <w:rsid w:val="006408D0"/>
    <w:rsid w:val="006641CE"/>
    <w:rsid w:val="006843CC"/>
    <w:rsid w:val="006C29B6"/>
    <w:rsid w:val="006D598C"/>
    <w:rsid w:val="006E2A4A"/>
    <w:rsid w:val="006E72FA"/>
    <w:rsid w:val="007070F5"/>
    <w:rsid w:val="00711213"/>
    <w:rsid w:val="00713623"/>
    <w:rsid w:val="0079284B"/>
    <w:rsid w:val="0079492A"/>
    <w:rsid w:val="0079521F"/>
    <w:rsid w:val="007A18D2"/>
    <w:rsid w:val="007B7A60"/>
    <w:rsid w:val="007D6FE1"/>
    <w:rsid w:val="007F35E9"/>
    <w:rsid w:val="007F3851"/>
    <w:rsid w:val="0080253A"/>
    <w:rsid w:val="00823999"/>
    <w:rsid w:val="00830FEA"/>
    <w:rsid w:val="008410DB"/>
    <w:rsid w:val="00862D7E"/>
    <w:rsid w:val="008A382F"/>
    <w:rsid w:val="008E6817"/>
    <w:rsid w:val="008F1146"/>
    <w:rsid w:val="008F1401"/>
    <w:rsid w:val="00915275"/>
    <w:rsid w:val="00916B49"/>
    <w:rsid w:val="00925690"/>
    <w:rsid w:val="00942FC4"/>
    <w:rsid w:val="00947491"/>
    <w:rsid w:val="00954F23"/>
    <w:rsid w:val="00962B37"/>
    <w:rsid w:val="0099015B"/>
    <w:rsid w:val="009929F8"/>
    <w:rsid w:val="009A60AB"/>
    <w:rsid w:val="009E59A7"/>
    <w:rsid w:val="009E6E4D"/>
    <w:rsid w:val="00A3503F"/>
    <w:rsid w:val="00A4524B"/>
    <w:rsid w:val="00A64EE6"/>
    <w:rsid w:val="00A811B5"/>
    <w:rsid w:val="00A85062"/>
    <w:rsid w:val="00A87ADE"/>
    <w:rsid w:val="00A94D40"/>
    <w:rsid w:val="00AA442C"/>
    <w:rsid w:val="00AC496C"/>
    <w:rsid w:val="00AE6843"/>
    <w:rsid w:val="00B06731"/>
    <w:rsid w:val="00B40E63"/>
    <w:rsid w:val="00B84817"/>
    <w:rsid w:val="00B9694C"/>
    <w:rsid w:val="00BA5634"/>
    <w:rsid w:val="00BB7F5E"/>
    <w:rsid w:val="00BD4CD9"/>
    <w:rsid w:val="00C2149D"/>
    <w:rsid w:val="00C44334"/>
    <w:rsid w:val="00C52C77"/>
    <w:rsid w:val="00C73D56"/>
    <w:rsid w:val="00C83AE5"/>
    <w:rsid w:val="00CB5AFE"/>
    <w:rsid w:val="00D155F5"/>
    <w:rsid w:val="00D1645A"/>
    <w:rsid w:val="00D17A4B"/>
    <w:rsid w:val="00D24AA4"/>
    <w:rsid w:val="00D307C1"/>
    <w:rsid w:val="00D51FB6"/>
    <w:rsid w:val="00D57D10"/>
    <w:rsid w:val="00D72C6F"/>
    <w:rsid w:val="00D73F56"/>
    <w:rsid w:val="00D833EA"/>
    <w:rsid w:val="00D95B33"/>
    <w:rsid w:val="00DA4913"/>
    <w:rsid w:val="00DB42D2"/>
    <w:rsid w:val="00DF01D7"/>
    <w:rsid w:val="00E26387"/>
    <w:rsid w:val="00E77F1F"/>
    <w:rsid w:val="00E8106B"/>
    <w:rsid w:val="00E971E5"/>
    <w:rsid w:val="00EB0121"/>
    <w:rsid w:val="00EC467D"/>
    <w:rsid w:val="00EC4F8A"/>
    <w:rsid w:val="00ED6902"/>
    <w:rsid w:val="00F166DC"/>
    <w:rsid w:val="00F17A37"/>
    <w:rsid w:val="00F36CC5"/>
    <w:rsid w:val="00F41603"/>
    <w:rsid w:val="00F438D7"/>
    <w:rsid w:val="00F821DE"/>
    <w:rsid w:val="00F86685"/>
    <w:rsid w:val="00FB061F"/>
    <w:rsid w:val="00FB159F"/>
    <w:rsid w:val="00FF20B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12F420"/>
  <w15:docId w15:val="{3A5C819A-2FF3-4410-B729-C1B6C9B9B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594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17A4B"/>
    <w:pPr>
      <w:ind w:left="720"/>
      <w:contextualSpacing/>
    </w:pPr>
  </w:style>
  <w:style w:type="character" w:customStyle="1" w:styleId="tabulatory">
    <w:name w:val="tabulatory"/>
    <w:basedOn w:val="Domylnaczcionkaakapitu"/>
    <w:rsid w:val="00490FF8"/>
  </w:style>
  <w:style w:type="paragraph" w:customStyle="1" w:styleId="PKTpunkt">
    <w:name w:val="PKT – punkt"/>
    <w:uiPriority w:val="13"/>
    <w:qFormat/>
    <w:rsid w:val="004844EE"/>
    <w:pPr>
      <w:spacing w:after="0" w:line="360" w:lineRule="auto"/>
      <w:ind w:left="510" w:hanging="510"/>
      <w:jc w:val="both"/>
    </w:pPr>
    <w:rPr>
      <w:rFonts w:ascii="Times" w:eastAsia="Times New Roman" w:hAnsi="Times" w:cs="Arial"/>
      <w:bCs/>
      <w:sz w:val="24"/>
      <w:szCs w:val="20"/>
      <w:lang w:eastAsia="pl-PL"/>
    </w:rPr>
  </w:style>
  <w:style w:type="character" w:styleId="Odwoaniedokomentarza">
    <w:name w:val="annotation reference"/>
    <w:basedOn w:val="Domylnaczcionkaakapitu"/>
    <w:uiPriority w:val="99"/>
    <w:semiHidden/>
    <w:unhideWhenUsed/>
    <w:rsid w:val="007F35E9"/>
    <w:rPr>
      <w:sz w:val="16"/>
      <w:szCs w:val="16"/>
    </w:rPr>
  </w:style>
  <w:style w:type="paragraph" w:styleId="Tekstkomentarza">
    <w:name w:val="annotation text"/>
    <w:basedOn w:val="Normalny"/>
    <w:link w:val="TekstkomentarzaZnak"/>
    <w:uiPriority w:val="99"/>
    <w:semiHidden/>
    <w:unhideWhenUsed/>
    <w:rsid w:val="007F35E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F35E9"/>
    <w:rPr>
      <w:sz w:val="20"/>
      <w:szCs w:val="20"/>
    </w:rPr>
  </w:style>
  <w:style w:type="paragraph" w:styleId="Tematkomentarza">
    <w:name w:val="annotation subject"/>
    <w:basedOn w:val="Tekstkomentarza"/>
    <w:next w:val="Tekstkomentarza"/>
    <w:link w:val="TematkomentarzaZnak"/>
    <w:uiPriority w:val="99"/>
    <w:semiHidden/>
    <w:unhideWhenUsed/>
    <w:rsid w:val="007F35E9"/>
    <w:rPr>
      <w:b/>
      <w:bCs/>
    </w:rPr>
  </w:style>
  <w:style w:type="character" w:customStyle="1" w:styleId="TematkomentarzaZnak">
    <w:name w:val="Temat komentarza Znak"/>
    <w:basedOn w:val="TekstkomentarzaZnak"/>
    <w:link w:val="Tematkomentarza"/>
    <w:uiPriority w:val="99"/>
    <w:semiHidden/>
    <w:rsid w:val="007F35E9"/>
    <w:rPr>
      <w:b/>
      <w:bCs/>
      <w:sz w:val="20"/>
      <w:szCs w:val="20"/>
    </w:rPr>
  </w:style>
  <w:style w:type="paragraph" w:styleId="Tekstdymka">
    <w:name w:val="Balloon Text"/>
    <w:basedOn w:val="Normalny"/>
    <w:link w:val="TekstdymkaZnak"/>
    <w:uiPriority w:val="99"/>
    <w:semiHidden/>
    <w:unhideWhenUsed/>
    <w:rsid w:val="007F35E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F35E9"/>
    <w:rPr>
      <w:rFonts w:ascii="Segoe UI" w:hAnsi="Segoe UI" w:cs="Segoe UI"/>
      <w:sz w:val="18"/>
      <w:szCs w:val="18"/>
    </w:rPr>
  </w:style>
  <w:style w:type="paragraph" w:styleId="Tekstprzypisukocowego">
    <w:name w:val="endnote text"/>
    <w:basedOn w:val="Normalny"/>
    <w:link w:val="TekstprzypisukocowegoZnak"/>
    <w:uiPriority w:val="99"/>
    <w:semiHidden/>
    <w:unhideWhenUsed/>
    <w:rsid w:val="00C52C7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52C77"/>
    <w:rPr>
      <w:sz w:val="20"/>
      <w:szCs w:val="20"/>
    </w:rPr>
  </w:style>
  <w:style w:type="character" w:styleId="Odwoanieprzypisukocowego">
    <w:name w:val="endnote reference"/>
    <w:basedOn w:val="Domylnaczcionkaakapitu"/>
    <w:uiPriority w:val="99"/>
    <w:semiHidden/>
    <w:unhideWhenUsed/>
    <w:rsid w:val="00C52C77"/>
    <w:rPr>
      <w:vertAlign w:val="superscript"/>
    </w:rPr>
  </w:style>
  <w:style w:type="paragraph" w:customStyle="1" w:styleId="ODNONIKtreodnonika">
    <w:name w:val="ODNOŚNIK – treść odnośnika"/>
    <w:uiPriority w:val="19"/>
    <w:qFormat/>
    <w:rsid w:val="005C63CB"/>
    <w:pPr>
      <w:spacing w:after="0" w:line="240" w:lineRule="auto"/>
      <w:ind w:left="284" w:hanging="284"/>
      <w:jc w:val="both"/>
    </w:pPr>
    <w:rPr>
      <w:rFonts w:ascii="Times New Roman" w:eastAsia="Times New Roman" w:hAnsi="Times New Roman" w:cs="Arial"/>
      <w:sz w:val="20"/>
      <w:szCs w:val="20"/>
      <w:lang w:eastAsia="pl-PL"/>
    </w:rPr>
  </w:style>
  <w:style w:type="character" w:customStyle="1" w:styleId="IGindeksgrny">
    <w:name w:val="_IG_ – indeks górny"/>
    <w:uiPriority w:val="2"/>
    <w:qFormat/>
    <w:rsid w:val="005C63CB"/>
    <w:rPr>
      <w:b w:val="0"/>
      <w:i w:val="0"/>
      <w:vanish w:val="0"/>
      <w:spacing w:val="0"/>
      <w:vertAlign w:val="superscript"/>
    </w:rPr>
  </w:style>
  <w:style w:type="character" w:styleId="Uwydatnienie">
    <w:name w:val="Emphasis"/>
    <w:basedOn w:val="Domylnaczcionkaakapitu"/>
    <w:uiPriority w:val="20"/>
    <w:qFormat/>
    <w:rsid w:val="005521BA"/>
    <w:rPr>
      <w:i/>
      <w:iCs/>
    </w:rPr>
  </w:style>
  <w:style w:type="paragraph" w:styleId="Nagwek">
    <w:name w:val="header"/>
    <w:basedOn w:val="Normalny"/>
    <w:link w:val="NagwekZnak"/>
    <w:uiPriority w:val="99"/>
    <w:unhideWhenUsed/>
    <w:rsid w:val="00862D7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2D7E"/>
  </w:style>
  <w:style w:type="paragraph" w:styleId="Stopka">
    <w:name w:val="footer"/>
    <w:basedOn w:val="Normalny"/>
    <w:link w:val="StopkaZnak"/>
    <w:uiPriority w:val="99"/>
    <w:unhideWhenUsed/>
    <w:rsid w:val="00862D7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2D7E"/>
  </w:style>
  <w:style w:type="paragraph" w:customStyle="1" w:styleId="ARTartustawynprozporzdzenia">
    <w:name w:val="ART(§) – art. ustawy (§ np. rozporządzenia)"/>
    <w:uiPriority w:val="11"/>
    <w:qFormat/>
    <w:rsid w:val="007070F5"/>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ZARTzmartartykuempunktem">
    <w:name w:val="Z/ART(§) – zm. art. (§) artykułem (punktem)"/>
    <w:basedOn w:val="ARTartustawynprozporzdzenia"/>
    <w:uiPriority w:val="30"/>
    <w:qFormat/>
    <w:rsid w:val="007070F5"/>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7070F5"/>
    <w:pPr>
      <w:keepNext/>
      <w:suppressAutoHyphens/>
      <w:spacing w:before="120" w:after="120" w:line="360" w:lineRule="auto"/>
      <w:jc w:val="center"/>
    </w:pPr>
    <w:rPr>
      <w:rFonts w:ascii="Times" w:eastAsiaTheme="minorEastAsia" w:hAnsi="Times" w:cs="Arial"/>
      <w:bCs/>
      <w:sz w:val="24"/>
      <w:szCs w:val="24"/>
      <w:lang w:eastAsia="pl-PL"/>
    </w:rPr>
  </w:style>
  <w:style w:type="paragraph" w:customStyle="1" w:styleId="TYTUAKTUprzedmiotregulacjiustawylubrozporzdzenia">
    <w:name w:val="TYTUŁ_AKTU – przedmiot regulacji ustawy lub rozporządzenia"/>
    <w:next w:val="ARTartustawynprozporzdzenia"/>
    <w:uiPriority w:val="6"/>
    <w:qFormat/>
    <w:rsid w:val="007070F5"/>
    <w:pPr>
      <w:keepNext/>
      <w:suppressAutoHyphens/>
      <w:spacing w:before="120" w:after="360" w:line="360" w:lineRule="auto"/>
      <w:jc w:val="center"/>
    </w:pPr>
    <w:rPr>
      <w:rFonts w:ascii="Times" w:eastAsiaTheme="minorEastAsia" w:hAnsi="Times" w:cs="Arial"/>
      <w:b/>
      <w:bCs/>
      <w:sz w:val="24"/>
      <w:szCs w:val="24"/>
      <w:lang w:eastAsia="pl-PL"/>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7070F5"/>
    <w:rPr>
      <w:bCs/>
    </w:rPr>
  </w:style>
  <w:style w:type="paragraph" w:customStyle="1" w:styleId="OZNRODZAKTUtznustawalubrozporzdzenieiorganwydajcy">
    <w:name w:val="OZN_RODZ_AKTU – tzn. ustawa lub rozporządzenie i organ wydający"/>
    <w:next w:val="DATAAKTUdatauchwalenialubwydaniaaktu"/>
    <w:uiPriority w:val="5"/>
    <w:qFormat/>
    <w:rsid w:val="007070F5"/>
    <w:pPr>
      <w:keepNext/>
      <w:suppressAutoHyphens/>
      <w:spacing w:after="120" w:line="360" w:lineRule="auto"/>
      <w:jc w:val="center"/>
    </w:pPr>
    <w:rPr>
      <w:rFonts w:ascii="Times" w:eastAsia="Times New Roman" w:hAnsi="Times" w:cs="Times New Roman"/>
      <w:b/>
      <w:bCs/>
      <w:caps/>
      <w:spacing w:val="54"/>
      <w:kern w:val="24"/>
      <w:sz w:val="24"/>
      <w:szCs w:val="24"/>
      <w:lang w:eastAsia="pl-PL"/>
    </w:rPr>
  </w:style>
  <w:style w:type="paragraph" w:customStyle="1" w:styleId="USTustnpkodeksu">
    <w:name w:val="UST(§) – ust. (§ np. kodeksu)"/>
    <w:basedOn w:val="ARTartustawynprozporzdzenia"/>
    <w:uiPriority w:val="12"/>
    <w:qFormat/>
    <w:rsid w:val="007070F5"/>
    <w:pPr>
      <w:spacing w:before="0"/>
    </w:pPr>
    <w:rPr>
      <w:bCs/>
    </w:rPr>
  </w:style>
  <w:style w:type="paragraph" w:customStyle="1" w:styleId="LITlitera">
    <w:name w:val="LIT – litera"/>
    <w:basedOn w:val="PKTpunkt"/>
    <w:uiPriority w:val="14"/>
    <w:qFormat/>
    <w:rsid w:val="007070F5"/>
    <w:pPr>
      <w:ind w:left="986" w:hanging="476"/>
    </w:pPr>
    <w:rPr>
      <w:rFonts w:eastAsiaTheme="minorEastAsia"/>
    </w:rPr>
  </w:style>
  <w:style w:type="paragraph" w:customStyle="1" w:styleId="CZWSPLITczwsplnaliter">
    <w:name w:val="CZ_WSP_LIT – część wspólna liter"/>
    <w:basedOn w:val="LITlitera"/>
    <w:next w:val="USTustnpkodeksu"/>
    <w:uiPriority w:val="17"/>
    <w:qFormat/>
    <w:rsid w:val="007070F5"/>
    <w:pPr>
      <w:ind w:left="510" w:firstLine="0"/>
    </w:pPr>
    <w:rPr>
      <w:szCs w:val="24"/>
    </w:rPr>
  </w:style>
  <w:style w:type="paragraph" w:customStyle="1" w:styleId="OZNPROJEKTUwskazaniedatylubwersjiprojektu">
    <w:name w:val="OZN_PROJEKTU – wskazanie daty lub wersji projektu"/>
    <w:next w:val="OZNRODZAKTUtznustawalubrozporzdzenieiorganwydajcy"/>
    <w:uiPriority w:val="5"/>
    <w:qFormat/>
    <w:rsid w:val="007070F5"/>
    <w:pPr>
      <w:spacing w:after="0" w:line="360" w:lineRule="auto"/>
      <w:jc w:val="right"/>
    </w:pPr>
    <w:rPr>
      <w:rFonts w:ascii="Times New Roman" w:eastAsiaTheme="minorEastAsia" w:hAnsi="Times New Roman" w:cs="Arial"/>
      <w:sz w:val="24"/>
      <w:szCs w:val="20"/>
      <w:u w:val="single"/>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3742">
      <w:bodyDiv w:val="1"/>
      <w:marLeft w:val="0"/>
      <w:marRight w:val="0"/>
      <w:marTop w:val="0"/>
      <w:marBottom w:val="0"/>
      <w:divBdr>
        <w:top w:val="none" w:sz="0" w:space="0" w:color="auto"/>
        <w:left w:val="none" w:sz="0" w:space="0" w:color="auto"/>
        <w:bottom w:val="none" w:sz="0" w:space="0" w:color="auto"/>
        <w:right w:val="none" w:sz="0" w:space="0" w:color="auto"/>
      </w:divBdr>
    </w:div>
    <w:div w:id="1066296847">
      <w:bodyDiv w:val="1"/>
      <w:marLeft w:val="0"/>
      <w:marRight w:val="0"/>
      <w:marTop w:val="0"/>
      <w:marBottom w:val="0"/>
      <w:divBdr>
        <w:top w:val="none" w:sz="0" w:space="0" w:color="auto"/>
        <w:left w:val="none" w:sz="0" w:space="0" w:color="auto"/>
        <w:bottom w:val="none" w:sz="0" w:space="0" w:color="auto"/>
        <w:right w:val="none" w:sz="0" w:space="0" w:color="auto"/>
      </w:divBdr>
      <w:divsChild>
        <w:div w:id="1712460763">
          <w:marLeft w:val="0"/>
          <w:marRight w:val="0"/>
          <w:marTop w:val="0"/>
          <w:marBottom w:val="0"/>
          <w:divBdr>
            <w:top w:val="none" w:sz="0" w:space="0" w:color="auto"/>
            <w:left w:val="none" w:sz="0" w:space="0" w:color="auto"/>
            <w:bottom w:val="none" w:sz="0" w:space="0" w:color="auto"/>
            <w:right w:val="none" w:sz="0" w:space="0" w:color="auto"/>
          </w:divBdr>
        </w:div>
        <w:div w:id="1416634342">
          <w:marLeft w:val="0"/>
          <w:marRight w:val="0"/>
          <w:marTop w:val="0"/>
          <w:marBottom w:val="0"/>
          <w:divBdr>
            <w:top w:val="none" w:sz="0" w:space="0" w:color="auto"/>
            <w:left w:val="none" w:sz="0" w:space="0" w:color="auto"/>
            <w:bottom w:val="none" w:sz="0" w:space="0" w:color="auto"/>
            <w:right w:val="none" w:sz="0" w:space="0" w:color="auto"/>
          </w:divBdr>
        </w:div>
      </w:divsChild>
    </w:div>
    <w:div w:id="1334994428">
      <w:bodyDiv w:val="1"/>
      <w:marLeft w:val="0"/>
      <w:marRight w:val="0"/>
      <w:marTop w:val="0"/>
      <w:marBottom w:val="0"/>
      <w:divBdr>
        <w:top w:val="none" w:sz="0" w:space="0" w:color="auto"/>
        <w:left w:val="none" w:sz="0" w:space="0" w:color="auto"/>
        <w:bottom w:val="none" w:sz="0" w:space="0" w:color="auto"/>
        <w:right w:val="none" w:sz="0" w:space="0" w:color="auto"/>
      </w:divBdr>
      <w:divsChild>
        <w:div w:id="894583260">
          <w:marLeft w:val="0"/>
          <w:marRight w:val="0"/>
          <w:marTop w:val="0"/>
          <w:marBottom w:val="0"/>
          <w:divBdr>
            <w:top w:val="none" w:sz="0" w:space="0" w:color="auto"/>
            <w:left w:val="none" w:sz="0" w:space="0" w:color="auto"/>
            <w:bottom w:val="none" w:sz="0" w:space="0" w:color="auto"/>
            <w:right w:val="none" w:sz="0" w:space="0" w:color="auto"/>
          </w:divBdr>
          <w:divsChild>
            <w:div w:id="10843889">
              <w:marLeft w:val="360"/>
              <w:marRight w:val="0"/>
              <w:marTop w:val="0"/>
              <w:marBottom w:val="0"/>
              <w:divBdr>
                <w:top w:val="none" w:sz="0" w:space="0" w:color="auto"/>
                <w:left w:val="none" w:sz="0" w:space="0" w:color="auto"/>
                <w:bottom w:val="none" w:sz="0" w:space="0" w:color="auto"/>
                <w:right w:val="none" w:sz="0" w:space="0" w:color="auto"/>
              </w:divBdr>
            </w:div>
          </w:divsChild>
        </w:div>
        <w:div w:id="851653420">
          <w:marLeft w:val="0"/>
          <w:marRight w:val="0"/>
          <w:marTop w:val="0"/>
          <w:marBottom w:val="0"/>
          <w:divBdr>
            <w:top w:val="none" w:sz="0" w:space="0" w:color="auto"/>
            <w:left w:val="none" w:sz="0" w:space="0" w:color="auto"/>
            <w:bottom w:val="none" w:sz="0" w:space="0" w:color="auto"/>
            <w:right w:val="none" w:sz="0" w:space="0" w:color="auto"/>
          </w:divBdr>
          <w:divsChild>
            <w:div w:id="1075394995">
              <w:marLeft w:val="360"/>
              <w:marRight w:val="0"/>
              <w:marTop w:val="0"/>
              <w:marBottom w:val="0"/>
              <w:divBdr>
                <w:top w:val="none" w:sz="0" w:space="0" w:color="auto"/>
                <w:left w:val="none" w:sz="0" w:space="0" w:color="auto"/>
                <w:bottom w:val="none" w:sz="0" w:space="0" w:color="auto"/>
                <w:right w:val="none" w:sz="0" w:space="0" w:color="auto"/>
              </w:divBdr>
            </w:div>
          </w:divsChild>
        </w:div>
        <w:div w:id="2102991789">
          <w:marLeft w:val="0"/>
          <w:marRight w:val="0"/>
          <w:marTop w:val="0"/>
          <w:marBottom w:val="0"/>
          <w:divBdr>
            <w:top w:val="none" w:sz="0" w:space="0" w:color="auto"/>
            <w:left w:val="none" w:sz="0" w:space="0" w:color="auto"/>
            <w:bottom w:val="none" w:sz="0" w:space="0" w:color="auto"/>
            <w:right w:val="none" w:sz="0" w:space="0" w:color="auto"/>
          </w:divBdr>
          <w:divsChild>
            <w:div w:id="111490263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72575249">
      <w:bodyDiv w:val="1"/>
      <w:marLeft w:val="0"/>
      <w:marRight w:val="0"/>
      <w:marTop w:val="0"/>
      <w:marBottom w:val="0"/>
      <w:divBdr>
        <w:top w:val="none" w:sz="0" w:space="0" w:color="auto"/>
        <w:left w:val="none" w:sz="0" w:space="0" w:color="auto"/>
        <w:bottom w:val="none" w:sz="0" w:space="0" w:color="auto"/>
        <w:right w:val="none" w:sz="0" w:space="0" w:color="auto"/>
      </w:divBdr>
      <w:divsChild>
        <w:div w:id="1446467045">
          <w:marLeft w:val="0"/>
          <w:marRight w:val="0"/>
          <w:marTop w:val="0"/>
          <w:marBottom w:val="0"/>
          <w:divBdr>
            <w:top w:val="none" w:sz="0" w:space="0" w:color="auto"/>
            <w:left w:val="none" w:sz="0" w:space="0" w:color="auto"/>
            <w:bottom w:val="none" w:sz="0" w:space="0" w:color="auto"/>
            <w:right w:val="none" w:sz="0" w:space="0" w:color="auto"/>
          </w:divBdr>
        </w:div>
        <w:div w:id="1338656132">
          <w:marLeft w:val="0"/>
          <w:marRight w:val="0"/>
          <w:marTop w:val="0"/>
          <w:marBottom w:val="0"/>
          <w:divBdr>
            <w:top w:val="none" w:sz="0" w:space="0" w:color="auto"/>
            <w:left w:val="none" w:sz="0" w:space="0" w:color="auto"/>
            <w:bottom w:val="none" w:sz="0" w:space="0" w:color="auto"/>
            <w:right w:val="none" w:sz="0" w:space="0" w:color="auto"/>
          </w:divBdr>
        </w:div>
      </w:divsChild>
    </w:div>
    <w:div w:id="190710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C7D1E-1F8F-440D-AE07-7C28D6B26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2305</Words>
  <Characters>13835</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Lasy Państwowe</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Baryga</dc:creator>
  <cp:lastModifiedBy>Jolanta Szczepaniak</cp:lastModifiedBy>
  <cp:revision>2</cp:revision>
  <cp:lastPrinted>2020-05-27T14:20:00Z</cp:lastPrinted>
  <dcterms:created xsi:type="dcterms:W3CDTF">2020-06-05T07:23:00Z</dcterms:created>
  <dcterms:modified xsi:type="dcterms:W3CDTF">2020-06-05T07:23:00Z</dcterms:modified>
</cp:coreProperties>
</file>