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F41E" w14:textId="01045971" w:rsidR="001521A1" w:rsidRPr="001521A1" w:rsidRDefault="001521A1" w:rsidP="001521A1">
      <w:pPr>
        <w:pStyle w:val="OZNRODZAKTUtznustawalubrozporzdzenieiorganwydajcy"/>
        <w:jc w:val="right"/>
        <w:rPr>
          <w:b w:val="0"/>
        </w:rPr>
      </w:pPr>
      <w:bookmarkStart w:id="0" w:name="_GoBack"/>
      <w:bookmarkEnd w:id="0"/>
      <w:r w:rsidRPr="001521A1">
        <w:rPr>
          <w:b w:val="0"/>
          <w:caps w:val="0"/>
        </w:rPr>
        <w:t xml:space="preserve">wersja </w:t>
      </w:r>
      <w:r w:rsidR="00590CDD">
        <w:rPr>
          <w:b w:val="0"/>
          <w:caps w:val="0"/>
        </w:rPr>
        <w:t>4.</w:t>
      </w:r>
      <w:r w:rsidR="00A13577">
        <w:rPr>
          <w:b w:val="0"/>
          <w:caps w:val="0"/>
        </w:rPr>
        <w:t>1</w:t>
      </w:r>
    </w:p>
    <w:p w14:paraId="44C70C19" w14:textId="77777777" w:rsidR="001521A1" w:rsidRPr="001521A1" w:rsidRDefault="001521A1" w:rsidP="001521A1"/>
    <w:p w14:paraId="1E6886D5" w14:textId="77777777" w:rsidR="006F728B" w:rsidRPr="00D74F57" w:rsidRDefault="006F728B" w:rsidP="006F728B">
      <w:pPr>
        <w:pStyle w:val="OZNRODZAKTUtznustawalubrozporzdzenieiorganwydajcy"/>
      </w:pPr>
      <w:r w:rsidRPr="00D74F57">
        <w:t>UZASADNIENIE</w:t>
      </w:r>
    </w:p>
    <w:p w14:paraId="2B09527A" w14:textId="7B7E4803" w:rsidR="006F728B" w:rsidRPr="00AC2FCC" w:rsidRDefault="00C36622" w:rsidP="00AC2FCC">
      <w:pPr>
        <w:pStyle w:val="ARTartustawynprozporzdzenia"/>
        <w:numPr>
          <w:ilvl w:val="0"/>
          <w:numId w:val="4"/>
        </w:numPr>
        <w:rPr>
          <w:b/>
        </w:rPr>
      </w:pPr>
      <w:r>
        <w:rPr>
          <w:rStyle w:val="Ppogrubienie"/>
        </w:rPr>
        <w:t>Potrzeba i cel wydania rozporządzenia</w:t>
      </w:r>
    </w:p>
    <w:p w14:paraId="05435317" w14:textId="6D22D430" w:rsidR="006F728B" w:rsidRDefault="006F728B" w:rsidP="00AC2FCC">
      <w:pPr>
        <w:pStyle w:val="ARTartustawynprozporzdzenia"/>
      </w:pPr>
      <w:r w:rsidRPr="00D74F57">
        <w:t>Projektowane rozporządzenie jest aktem wykonawczym, wypełniającym upoważnienie usta</w:t>
      </w:r>
      <w:r>
        <w:t>wowe zawarte w przepisie art. 34</w:t>
      </w:r>
      <w:r w:rsidRPr="00D74F57">
        <w:t xml:space="preserve"> ust. 1 ustawy z dnia </w:t>
      </w:r>
      <w:r>
        <w:t>8 grudnia 2017 r.</w:t>
      </w:r>
      <w:r w:rsidRPr="00D74F57">
        <w:t xml:space="preserve"> o rynku mocy</w:t>
      </w:r>
      <w:r>
        <w:t xml:space="preserve"> (Dz. U. z 2018 r. poz. 9)</w:t>
      </w:r>
      <w:r w:rsidR="00831AA8">
        <w:t>, zwanej dalej „ustawą”</w:t>
      </w:r>
      <w:r w:rsidRPr="00D74F57">
        <w:t xml:space="preserve">. </w:t>
      </w:r>
      <w:r>
        <w:t>Co do zasady</w:t>
      </w:r>
      <w:r w:rsidR="00831AA8">
        <w:t>,</w:t>
      </w:r>
      <w:r>
        <w:t xml:space="preserve"> </w:t>
      </w:r>
      <w:r w:rsidRPr="00D74F57">
        <w:t>rozporządzenie</w:t>
      </w:r>
      <w:r>
        <w:t xml:space="preserve"> określające parametry aukcji </w:t>
      </w:r>
      <w:r w:rsidR="00FC36DE">
        <w:t xml:space="preserve">będzie </w:t>
      </w:r>
      <w:r>
        <w:t>aktem prawnym, któr</w:t>
      </w:r>
      <w:r w:rsidR="00831AA8">
        <w:t xml:space="preserve">y zgodnie z art. 34 ustawy </w:t>
      </w:r>
      <w:r>
        <w:t xml:space="preserve">będzie </w:t>
      </w:r>
      <w:r w:rsidR="00831AA8">
        <w:t xml:space="preserve">wydawany </w:t>
      </w:r>
      <w:r w:rsidR="00FC36DE">
        <w:t>cyklicznie</w:t>
      </w:r>
      <w:r>
        <w:t>,</w:t>
      </w:r>
      <w:r w:rsidR="00831AA8">
        <w:t xml:space="preserve"> nie później niż na 18 tygodni </w:t>
      </w:r>
      <w:r>
        <w:t xml:space="preserve"> </w:t>
      </w:r>
      <w:r w:rsidR="00831AA8">
        <w:t xml:space="preserve">przed rozpoczęciem każdej aukcji głównej, </w:t>
      </w:r>
      <w:r w:rsidR="00FC36DE" w:rsidRPr="00D74F57">
        <w:t xml:space="preserve">która będzie organizowana w okresie </w:t>
      </w:r>
      <w:r w:rsidR="00FC36DE">
        <w:t>pomiędzy 1 a 22</w:t>
      </w:r>
      <w:r w:rsidR="00FC36DE" w:rsidRPr="00D74F57">
        <w:t xml:space="preserve"> grudnia każdego roku, przy czym </w:t>
      </w:r>
      <w:r w:rsidR="00ED6CCE">
        <w:t>O</w:t>
      </w:r>
      <w:r w:rsidR="00FC36DE" w:rsidRPr="00D74F57">
        <w:t xml:space="preserve">perator </w:t>
      </w:r>
      <w:r w:rsidR="00ED6CCE">
        <w:t>S</w:t>
      </w:r>
      <w:r w:rsidR="00FC36DE" w:rsidRPr="00D74F57">
        <w:t xml:space="preserve">ystemu </w:t>
      </w:r>
      <w:r w:rsidR="00ED6CCE">
        <w:t xml:space="preserve">Przesyłowego, zwany dalej „OSP” </w:t>
      </w:r>
      <w:r w:rsidR="0025019C" w:rsidRPr="0025019C">
        <w:t xml:space="preserve">ogłasza corocznie do dnia 1 marca </w:t>
      </w:r>
      <w:r w:rsidR="00FC36DE" w:rsidRPr="00D74F57">
        <w:t xml:space="preserve">dokładną datę jej przeprowadzenia. </w:t>
      </w:r>
      <w:r w:rsidR="00FC36DE">
        <w:t xml:space="preserve">Zgodnie z przepisem </w:t>
      </w:r>
      <w:r w:rsidR="00C84A7E">
        <w:t>przejściowym</w:t>
      </w:r>
      <w:r w:rsidR="00FC36DE">
        <w:t xml:space="preserve"> </w:t>
      </w:r>
      <w:r w:rsidR="0025019C">
        <w:t xml:space="preserve">zawartym </w:t>
      </w:r>
      <w:r w:rsidR="00FC36DE">
        <w:t xml:space="preserve">w art. 94 </w:t>
      </w:r>
      <w:r w:rsidR="00FC36DE" w:rsidRPr="00D74F57">
        <w:t xml:space="preserve">ust. </w:t>
      </w:r>
      <w:r w:rsidR="00FC36DE">
        <w:t>4</w:t>
      </w:r>
      <w:r w:rsidR="00FC36DE" w:rsidRPr="00D74F57">
        <w:t xml:space="preserve"> ustawy, </w:t>
      </w:r>
      <w:r w:rsidR="00FC36DE">
        <w:t>parametry dla trzech pierwszych aukcji głównych mogą</w:t>
      </w:r>
      <w:r w:rsidR="00107BB7">
        <w:t xml:space="preserve"> zostać określone łącznie w </w:t>
      </w:r>
      <w:r w:rsidR="00FC36DE" w:rsidRPr="00D74F57">
        <w:t>jednym akcie wykonawczym</w:t>
      </w:r>
      <w:r w:rsidR="00FC36DE">
        <w:t>. Zgodnie art. 94 ust. 7 ustawy rozporządzenie określające parametry aukcji głównych</w:t>
      </w:r>
      <w:r w:rsidR="00164060">
        <w:t>,</w:t>
      </w:r>
      <w:r w:rsidR="00FC36DE">
        <w:t xml:space="preserve"> które odbędą się w IV kwartale 2018 r., powinno zostać wydane przez </w:t>
      </w:r>
      <w:r w:rsidR="00164060">
        <w:t>Ministra Energii</w:t>
      </w:r>
      <w:r w:rsidR="00FC36DE">
        <w:t xml:space="preserve"> w terminie do 22 sierpnia 2018 r.</w:t>
      </w:r>
      <w:r w:rsidR="00FC36DE" w:rsidRPr="009E2875">
        <w:t xml:space="preserve"> </w:t>
      </w:r>
      <w:r w:rsidR="00FC36DE">
        <w:t>po zasięgnięcia</w:t>
      </w:r>
      <w:r w:rsidR="00FC36DE" w:rsidRPr="009E2875">
        <w:t xml:space="preserve"> opinii Prezesa Urzędu Regulacji Energetyk</w:t>
      </w:r>
      <w:r w:rsidR="00BA7175">
        <w:t xml:space="preserve">i, </w:t>
      </w:r>
      <w:r w:rsidR="00BA7175" w:rsidRPr="00E975E8">
        <w:t xml:space="preserve">biorąc pod uwagę m.in. </w:t>
      </w:r>
      <w:r w:rsidR="00BA7175" w:rsidRPr="00491D1B">
        <w:t>politykę energetyczną państwa, adekwatność stosowanych parametrów do potrzeb systemu, zapewnienie bezpieczeństwa systemu, równoprawne i niedyskryminacyjne traktowanie dostawców mocy oraz mając na względzie przewidywaną dostępność zdolności przesyłowych oraz ich udział w zapewnieniu bezpieczeństwa dostaw energii elektrycznej</w:t>
      </w:r>
      <w:r w:rsidR="00AC2FCC">
        <w:t>.</w:t>
      </w:r>
      <w:r w:rsidR="00107BB7">
        <w:t xml:space="preserve"> </w:t>
      </w:r>
      <w:r w:rsidR="00FC36DE">
        <w:t xml:space="preserve">Istotnym jest, że ze względu na </w:t>
      </w:r>
      <w:r w:rsidR="00BA7175">
        <w:t>uregulowanie w</w:t>
      </w:r>
      <w:r w:rsidR="00107BB7">
        <w:t> </w:t>
      </w:r>
      <w:r w:rsidR="00AC2FCC">
        <w:t>jednym</w:t>
      </w:r>
      <w:r w:rsidR="00FC36DE">
        <w:t xml:space="preserve"> projektowan</w:t>
      </w:r>
      <w:r w:rsidR="00BA7175">
        <w:t>ym</w:t>
      </w:r>
      <w:r w:rsidR="00FC36DE">
        <w:t xml:space="preserve"> </w:t>
      </w:r>
      <w:r w:rsidR="00BA7175">
        <w:t>rozporządzeniu parametrów dla</w:t>
      </w:r>
      <w:r w:rsidR="00AC2FCC">
        <w:t xml:space="preserve"> trzech</w:t>
      </w:r>
      <w:r w:rsidR="00BA7175">
        <w:t xml:space="preserve"> </w:t>
      </w:r>
      <w:r>
        <w:t>aukcji głównych na rok dostaw 2021, 2022 oraz 2023</w:t>
      </w:r>
      <w:r w:rsidR="00831AA8">
        <w:t xml:space="preserve">, </w:t>
      </w:r>
      <w:r>
        <w:t xml:space="preserve">Minister Energii </w:t>
      </w:r>
      <w:r w:rsidR="00BA7175">
        <w:t>nie będzie miał</w:t>
      </w:r>
      <w:r w:rsidR="00FC36DE">
        <w:t xml:space="preserve"> </w:t>
      </w:r>
      <w:r>
        <w:t xml:space="preserve">możliwości ewentualnych korekt parametrów po pierwszej i drugiej aukcji. </w:t>
      </w:r>
    </w:p>
    <w:p w14:paraId="02D7433F" w14:textId="6A729748" w:rsidR="006F728B" w:rsidRDefault="006F728B" w:rsidP="00C36622">
      <w:pPr>
        <w:pStyle w:val="ARTartustawynprozporzdzenia"/>
      </w:pPr>
      <w:r w:rsidRPr="00280FA0">
        <w:t xml:space="preserve">Zgodnie z wymogami </w:t>
      </w:r>
      <w:r w:rsidR="00BA7175">
        <w:t xml:space="preserve">ustawy, </w:t>
      </w:r>
      <w:r w:rsidR="00ED6CCE">
        <w:t>OSP</w:t>
      </w:r>
      <w:r>
        <w:t xml:space="preserve"> przedstawił</w:t>
      </w:r>
      <w:r w:rsidRPr="00280FA0">
        <w:t xml:space="preserve"> Ministrowi Energii propozycję par</w:t>
      </w:r>
      <w:r>
        <w:t xml:space="preserve">ametrów aukcji głównych na rok dostaw 2021, 2022 oraz 2023. </w:t>
      </w:r>
      <w:r w:rsidRPr="00280FA0">
        <w:t>Biorąc pod uwagę przyjęty proces ustalania parametrów aukcji, ich techniczno-ekonomiczny charakter oraz ich znaczenie dla rozstrzygnięcia aukcji mocy</w:t>
      </w:r>
      <w:r w:rsidR="00164060">
        <w:t>,</w:t>
      </w:r>
      <w:r w:rsidRPr="00280FA0">
        <w:t xml:space="preserve"> konieczne było powołanie zespołu doradczego, który </w:t>
      </w:r>
      <w:r>
        <w:t>z</w:t>
      </w:r>
      <w:r w:rsidRPr="00280FA0">
        <w:t xml:space="preserve">weryfikował przedstawione przez </w:t>
      </w:r>
      <w:r>
        <w:t>OSP</w:t>
      </w:r>
      <w:r w:rsidRPr="00280FA0">
        <w:t xml:space="preserve"> propozycje parametrów.</w:t>
      </w:r>
      <w:r>
        <w:t xml:space="preserve"> </w:t>
      </w:r>
      <w:r w:rsidR="00BA7175">
        <w:t>Wobec powyższego, Zarządzeniem Ministra Energii z dnia 6 lipca 2018 r. w Ministerstwie Energii został powołał</w:t>
      </w:r>
      <w:r w:rsidR="00BA7175" w:rsidRPr="00280FA0">
        <w:t xml:space="preserve"> Zespół </w:t>
      </w:r>
      <w:r w:rsidR="00BA7175" w:rsidRPr="00280FA0">
        <w:rPr>
          <w:rStyle w:val="Kkursywa"/>
        </w:rPr>
        <w:t>do spraw opiniowania parametrów aukcji mocy</w:t>
      </w:r>
      <w:r w:rsidRPr="00280FA0">
        <w:t xml:space="preserve"> (Dz. Urz. Min. Energii, poz. 15)</w:t>
      </w:r>
      <w:r w:rsidR="00C84A7E">
        <w:t xml:space="preserve"> zwany dalej „</w:t>
      </w:r>
      <w:r w:rsidR="00C647D5">
        <w:t>Zespołem</w:t>
      </w:r>
      <w:r w:rsidR="00AC2FCC">
        <w:t xml:space="preserve"> Doradczym</w:t>
      </w:r>
      <w:r w:rsidR="00C647D5">
        <w:t>”</w:t>
      </w:r>
      <w:r>
        <w:t xml:space="preserve">. </w:t>
      </w:r>
      <w:r w:rsidRPr="00280FA0">
        <w:t>Członkami Zespołu</w:t>
      </w:r>
      <w:r w:rsidR="00AC2FCC">
        <w:t xml:space="preserve"> Doradczego</w:t>
      </w:r>
      <w:r w:rsidRPr="00280FA0">
        <w:t xml:space="preserve"> zostały osoby o </w:t>
      </w:r>
      <w:r w:rsidRPr="00280FA0">
        <w:lastRenderedPageBreak/>
        <w:t>potwierdzonej stopniem naukowym wiedzy z dziedziny energetyki, będące pracownikami czołowych polskich uczelni technicznych i jednostek badawczych.</w:t>
      </w:r>
      <w:r>
        <w:t xml:space="preserve"> Do zadań Zespołu należało</w:t>
      </w:r>
      <w:r w:rsidRPr="00280FA0">
        <w:t xml:space="preserve"> m.in. </w:t>
      </w:r>
      <w:r w:rsidR="00BA7175">
        <w:t>za</w:t>
      </w:r>
      <w:r w:rsidRPr="00280FA0">
        <w:t xml:space="preserve">opiniowanie proponowanych </w:t>
      </w:r>
      <w:r>
        <w:t xml:space="preserve">przez OSP </w:t>
      </w:r>
      <w:r w:rsidRPr="00280FA0">
        <w:t>wa</w:t>
      </w:r>
      <w:r>
        <w:t>rtości parametrów aukcji mocy i </w:t>
      </w:r>
      <w:r w:rsidRPr="00280FA0">
        <w:t>przygotowanie propozycji współczynnika wyznaczającego cenę maksymalną na aukcji. Dokonując oceny merytor</w:t>
      </w:r>
      <w:r w:rsidR="00C84A7E">
        <w:t>ycznej parametrów</w:t>
      </w:r>
      <w:r>
        <w:t xml:space="preserve"> Zespół </w:t>
      </w:r>
      <w:r w:rsidR="00AC2FCC">
        <w:t xml:space="preserve">Doradczy </w:t>
      </w:r>
      <w:r w:rsidR="00BA7175">
        <w:t>wziął</w:t>
      </w:r>
      <w:r w:rsidR="00BA7175" w:rsidRPr="00280FA0">
        <w:t xml:space="preserve"> </w:t>
      </w:r>
      <w:r w:rsidRPr="00280FA0">
        <w:t>pod uwagę potencjalne koszty dla odbiorców energii wynikające z opłaty mocowej oraz bezpieczeństwo pracy Krajowego Systemu Elektroenergetycznego</w:t>
      </w:r>
      <w:r w:rsidR="00164060">
        <w:t>, zwanego dalej „KSE”,</w:t>
      </w:r>
      <w:r w:rsidRPr="00280FA0">
        <w:t xml:space="preserve"> w danym roku dostaw.</w:t>
      </w:r>
    </w:p>
    <w:p w14:paraId="72A69F77" w14:textId="1E2642EB" w:rsidR="00164060" w:rsidRPr="00AC2FCC" w:rsidRDefault="007D688F" w:rsidP="00AC2FCC">
      <w:pPr>
        <w:pStyle w:val="ARTartustawynprozporzdzenia"/>
        <w:numPr>
          <w:ilvl w:val="0"/>
          <w:numId w:val="4"/>
        </w:numPr>
        <w:rPr>
          <w:b/>
        </w:rPr>
      </w:pPr>
      <w:r w:rsidRPr="001521A1">
        <w:rPr>
          <w:b/>
        </w:rPr>
        <w:t xml:space="preserve">Dokumenty </w:t>
      </w:r>
      <w:r w:rsidR="00AC2FCC">
        <w:rPr>
          <w:b/>
        </w:rPr>
        <w:t>bazowe</w:t>
      </w:r>
    </w:p>
    <w:p w14:paraId="173B699B" w14:textId="1565275C" w:rsidR="006F728B" w:rsidRDefault="006F728B" w:rsidP="006F728B">
      <w:pPr>
        <w:pStyle w:val="ARTartustawynprozporzdzenia"/>
      </w:pPr>
      <w:r>
        <w:t xml:space="preserve">Projekt rozporządzenia </w:t>
      </w:r>
      <w:r w:rsidR="00AC2FCC">
        <w:t xml:space="preserve">określający </w:t>
      </w:r>
      <w:r w:rsidR="00164060">
        <w:t>parametr</w:t>
      </w:r>
      <w:r w:rsidR="00AC2FCC">
        <w:t>y</w:t>
      </w:r>
      <w:r w:rsidR="00164060">
        <w:t xml:space="preserve"> </w:t>
      </w:r>
      <w:r>
        <w:t>aukcji głównych</w:t>
      </w:r>
      <w:r w:rsidR="00AC2FCC">
        <w:t xml:space="preserve"> na rok dostaw 2021, 2022 oraz 2023</w:t>
      </w:r>
      <w:r>
        <w:t xml:space="preserve"> został sporządzony na podstawie następujących dokumentów:</w:t>
      </w:r>
    </w:p>
    <w:p w14:paraId="5D4F2F1C" w14:textId="761C4C56" w:rsidR="006F728B" w:rsidRDefault="00C36622" w:rsidP="006F728B">
      <w:pPr>
        <w:pStyle w:val="ARTartustawynprozporzdzenia"/>
      </w:pPr>
      <w:r>
        <w:t>1) „</w:t>
      </w:r>
      <w:r w:rsidR="006F728B">
        <w:t>Proponowane parametry dla trzech aukcji głównych przeprowadzonych w 2018 r., Operator Systemu Przesyłowego</w:t>
      </w:r>
      <w:r>
        <w:t>” z</w:t>
      </w:r>
      <w:r w:rsidR="006F728B">
        <w:t xml:space="preserve"> 19 czerwca 2018 r.,</w:t>
      </w:r>
    </w:p>
    <w:p w14:paraId="41CF20CF" w14:textId="1C4C4F9D" w:rsidR="006F728B" w:rsidRDefault="00C36622" w:rsidP="006F728B">
      <w:pPr>
        <w:pStyle w:val="ARTartustawynprozporzdzenia"/>
      </w:pPr>
      <w:r>
        <w:t>2)</w:t>
      </w:r>
      <w:r w:rsidR="006F728B">
        <w:t xml:space="preserve"> </w:t>
      </w:r>
      <w:r>
        <w:t>„</w:t>
      </w:r>
      <w:r w:rsidR="006F728B">
        <w:t xml:space="preserve">Raport </w:t>
      </w:r>
      <w:r w:rsidR="006F728B" w:rsidRPr="00676176">
        <w:t>Zespołu do spraw opiniowania parametrów aukcji mocy</w:t>
      </w:r>
      <w:r w:rsidR="006F728B">
        <w:t xml:space="preserve"> </w:t>
      </w:r>
      <w:r w:rsidR="006F728B" w:rsidRPr="00676176">
        <w:t>dotyczący parametrów aukcji głównej na rok dostaw 2021, 2022 oraz 2023</w:t>
      </w:r>
      <w:r>
        <w:t>” z</w:t>
      </w:r>
      <w:r w:rsidR="006F728B">
        <w:t xml:space="preserve"> 25 lipca 2018 r.,</w:t>
      </w:r>
    </w:p>
    <w:p w14:paraId="422A84A8" w14:textId="3696FCB9" w:rsidR="00C36622" w:rsidRDefault="00C36622" w:rsidP="00C36622">
      <w:pPr>
        <w:pStyle w:val="ARTartustawynprozporzdzenia"/>
      </w:pPr>
      <w:r>
        <w:t xml:space="preserve">3) </w:t>
      </w:r>
      <w:r w:rsidR="006F728B">
        <w:t>Decyzja Komisji Europejskiej z dnia 7 </w:t>
      </w:r>
      <w:r w:rsidR="006F728B" w:rsidRPr="00676176">
        <w:t xml:space="preserve">lutego 2018 r. C(2018) 601 </w:t>
      </w:r>
      <w:proofErr w:type="spellStart"/>
      <w:r w:rsidR="006F728B" w:rsidRPr="00676176">
        <w:t>final</w:t>
      </w:r>
      <w:proofErr w:type="spellEnd"/>
      <w:r w:rsidR="006F728B">
        <w:t>.</w:t>
      </w:r>
    </w:p>
    <w:p w14:paraId="74300A9A" w14:textId="443A064B" w:rsidR="00C36622" w:rsidRPr="00AC2FCC" w:rsidRDefault="00C36622" w:rsidP="00AC2FCC">
      <w:pPr>
        <w:pStyle w:val="ARTartustawynprozporzdzenia"/>
        <w:numPr>
          <w:ilvl w:val="0"/>
          <w:numId w:val="4"/>
        </w:numPr>
        <w:rPr>
          <w:b/>
        </w:rPr>
      </w:pPr>
      <w:r w:rsidRPr="00011AF3">
        <w:rPr>
          <w:rStyle w:val="Ppogrubienie"/>
        </w:rPr>
        <w:t>Szczegółowe u</w:t>
      </w:r>
      <w:r>
        <w:rPr>
          <w:rStyle w:val="Ppogrubienie"/>
        </w:rPr>
        <w:t>zasadnienie poszczególnych parametrów</w:t>
      </w:r>
    </w:p>
    <w:p w14:paraId="7213B386" w14:textId="6686B38D" w:rsidR="006F728B" w:rsidRDefault="006F728B" w:rsidP="00AC2FCC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>Zapotrzebowanie na moc w aukcji głównej (</w:t>
      </w:r>
      <w:r>
        <w:rPr>
          <w:rStyle w:val="Ppogrubienie"/>
          <w:rFonts w:cs="Times"/>
        </w:rPr>
        <w:t>§</w:t>
      </w:r>
      <w:r>
        <w:rPr>
          <w:rStyle w:val="Ppogrubienie"/>
        </w:rPr>
        <w:t xml:space="preserve"> </w:t>
      </w:r>
      <w:r w:rsidRPr="0097528A">
        <w:rPr>
          <w:rStyle w:val="Ppogrubienie"/>
        </w:rPr>
        <w:t>2)</w:t>
      </w:r>
      <w:r>
        <w:rPr>
          <w:rStyle w:val="Ppogrubienie"/>
        </w:rPr>
        <w:t xml:space="preserve"> oraz m</w:t>
      </w:r>
      <w:r w:rsidRPr="003049C5">
        <w:rPr>
          <w:rStyle w:val="Ppogrubienie"/>
        </w:rPr>
        <w:t>inimalne wielkości obowiązków mocowych planowane do pozyskania w wyniku aukcji dodatkowych (§ 10)</w:t>
      </w:r>
    </w:p>
    <w:p w14:paraId="78DB0600" w14:textId="7A92B300" w:rsidR="006F728B" w:rsidRDefault="006F728B" w:rsidP="00AC2FCC">
      <w:pPr>
        <w:pStyle w:val="ARTartustawynprozporzdzenia"/>
      </w:pPr>
      <w:r>
        <w:t xml:space="preserve">Zapotrzebowanie na moc w aukcji to </w:t>
      </w:r>
      <w:r w:rsidRPr="00D453D1">
        <w:t>wolumen mocy, jaki powinien zostać zakupiony na dany okres dostaw tak, aby spełniony był standard bezpiecze</w:t>
      </w:r>
      <w:r>
        <w:t xml:space="preserve">ństwa dostaw energii elektrycznej, określony w rozporządzeniu Ministra Energii z </w:t>
      </w:r>
      <w:r w:rsidRPr="00261CD4">
        <w:t xml:space="preserve">dnia 18 lipca 2018 r. </w:t>
      </w:r>
      <w:r w:rsidRPr="00AC2FCC">
        <w:rPr>
          <w:i/>
        </w:rPr>
        <w:t xml:space="preserve">w sprawie wykonania obowiązku mocowego, jego rozliczania i demonstrowania oraz zawierania transakcji na rynku wtórnym </w:t>
      </w:r>
      <w:r>
        <w:t xml:space="preserve">(Dz. U. </w:t>
      </w:r>
      <w:r w:rsidR="00C36622">
        <w:t xml:space="preserve">poz. 1455). </w:t>
      </w:r>
      <w:r>
        <w:t>Wyliczone zapotrzebowanie na moc w danym roku, które powinno być zakontraktowane</w:t>
      </w:r>
      <w:r w:rsidR="00C84A7E">
        <w:t>,</w:t>
      </w:r>
      <w:r>
        <w:t xml:space="preserve"> zostanie zakupione </w:t>
      </w:r>
      <w:r w:rsidR="00C84A7E">
        <w:t xml:space="preserve">na </w:t>
      </w:r>
      <w:r w:rsidR="00AC2FCC">
        <w:t>pięciu</w:t>
      </w:r>
      <w:r>
        <w:t xml:space="preserve"> </w:t>
      </w:r>
      <w:r w:rsidR="00164060">
        <w:t>a</w:t>
      </w:r>
      <w:r w:rsidR="00AC2FCC">
        <w:t>u</w:t>
      </w:r>
      <w:r w:rsidR="00164060">
        <w:t>kcjach</w:t>
      </w:r>
      <w:r>
        <w:t xml:space="preserve">: aukcji głównej </w:t>
      </w:r>
      <w:r w:rsidR="00C84A7E">
        <w:t xml:space="preserve">na </w:t>
      </w:r>
      <w:r w:rsidR="00C84A7E" w:rsidRPr="006B2778">
        <w:t>kilka lat</w:t>
      </w:r>
      <w:r w:rsidR="00AC2FCC" w:rsidRPr="006B2778">
        <w:t xml:space="preserve"> przez fizyczną dostawą mocy </w:t>
      </w:r>
      <w:r w:rsidRPr="006B2778">
        <w:t xml:space="preserve">oraz na </w:t>
      </w:r>
      <w:r w:rsidR="00AC2FCC" w:rsidRPr="006B2778">
        <w:t xml:space="preserve">czterech </w:t>
      </w:r>
      <w:r w:rsidRPr="006B2778">
        <w:t>aukcjach dodatkowych na rok przed fizyczną dostawą.</w:t>
      </w:r>
    </w:p>
    <w:p w14:paraId="0582249E" w14:textId="648EABA0" w:rsidR="006F728B" w:rsidRPr="005A206C" w:rsidRDefault="006F728B" w:rsidP="006F728B">
      <w:pPr>
        <w:pStyle w:val="ARTartustawynprozporzdzenia"/>
      </w:pPr>
      <w:r>
        <w:t>W celu uzyskania zapotrzebowania na moc w aukcji</w:t>
      </w:r>
      <w:r w:rsidR="00164060">
        <w:t>,</w:t>
      </w:r>
      <w:r>
        <w:t xml:space="preserve"> dokonano obliczeń zapotrzebowania na moc brutto całego kraju. Następnie</w:t>
      </w:r>
      <w:r w:rsidR="00164060">
        <w:t>,</w:t>
      </w:r>
      <w:r>
        <w:t xml:space="preserve"> od zapotrzebowania na moc brutto całego kraju odjęto </w:t>
      </w:r>
      <w:r w:rsidRPr="005A206C">
        <w:t>potrzeb</w:t>
      </w:r>
      <w:r>
        <w:t xml:space="preserve">y własne jednostek wytwórczych i otrzymano zapotrzebowanie na </w:t>
      </w:r>
      <w:r>
        <w:lastRenderedPageBreak/>
        <w:t xml:space="preserve">moc netto całego kraju (zapotrzebowanie sieci). </w:t>
      </w:r>
      <w:r w:rsidR="00C36622">
        <w:t xml:space="preserve">Kolejno </w:t>
      </w:r>
      <w:r>
        <w:t xml:space="preserve">dokonano założenia wariantowego wzrostu zapotrzebowania na energię elektryczną i moc do roku 2023. </w:t>
      </w:r>
      <w:r w:rsidRPr="005A206C">
        <w:t xml:space="preserve">Prognozy zapotrzebowania zostały przygotowane na bazie dwóch </w:t>
      </w:r>
      <w:r>
        <w:t>ścieżek rozwoju gospodarczego w </w:t>
      </w:r>
      <w:r w:rsidRPr="005A206C">
        <w:t>Polsce opracowanych przez:</w:t>
      </w:r>
    </w:p>
    <w:p w14:paraId="6CC36330" w14:textId="2B8CE65F" w:rsidR="006F728B" w:rsidRPr="005A206C" w:rsidRDefault="006F728B" w:rsidP="006F728B">
      <w:pPr>
        <w:pStyle w:val="ARTartustawynprozporzdzenia"/>
        <w:numPr>
          <w:ilvl w:val="0"/>
          <w:numId w:val="1"/>
        </w:numPr>
      </w:pPr>
      <w:r w:rsidRPr="005A206C">
        <w:t>Ministerstwo Finansów (MF) – prognoza PKB wykonana w ramach „Wytycznych dotyczących stosowania jednolitych wskaźników makroekonomicznych będących podstawą oszacowania skutków fi</w:t>
      </w:r>
      <w:r w:rsidR="00C84A7E">
        <w:t>nansowych projektowanych ustaw”</w:t>
      </w:r>
      <w:r w:rsidRPr="005A206C">
        <w:t xml:space="preserve"> </w:t>
      </w:r>
      <w:r w:rsidR="00C84A7E">
        <w:t>– </w:t>
      </w:r>
      <w:r w:rsidRPr="005A206C">
        <w:t>uwzględniono aktualizację prognozy PKB z maja 2018 r.,</w:t>
      </w:r>
    </w:p>
    <w:p w14:paraId="1EC12592" w14:textId="77777777" w:rsidR="006F728B" w:rsidRPr="005A206C" w:rsidRDefault="006F728B" w:rsidP="006F728B">
      <w:pPr>
        <w:pStyle w:val="ARTartustawynprozporzdzenia"/>
        <w:numPr>
          <w:ilvl w:val="0"/>
          <w:numId w:val="1"/>
        </w:numPr>
      </w:pPr>
      <w:r w:rsidRPr="005A206C">
        <w:t>Organizację Współpracy Gospodarczej i Rozwoju (OECD) – prognoza PKB przygotowana w 2014 r. dla wszystkich krajów</w:t>
      </w:r>
      <w:r>
        <w:t xml:space="preserve"> członkowskich, w tym Polski, w </w:t>
      </w:r>
      <w:r w:rsidRPr="005A206C">
        <w:t xml:space="preserve">perspektywie do roku 2060. </w:t>
      </w:r>
    </w:p>
    <w:p w14:paraId="3CA31C85" w14:textId="27FCD561" w:rsidR="00A13577" w:rsidRDefault="006F728B" w:rsidP="006F728B">
      <w:pPr>
        <w:pStyle w:val="ARTartustawynprozporzdzenia"/>
        <w:ind w:firstLine="0"/>
      </w:pPr>
      <w:r>
        <w:t>Tak otrzymane prognozowane zapotrzebowanie na moc netto w kraju (zapotrzebowanie sieci) nie jest jednak mocą, którą należy kupić na aukcji, ponieważ część jednostek fizycznych zlokalizowanych na terenie kraju n</w:t>
      </w:r>
      <w:r w:rsidR="00C84A7E">
        <w:t>ie będzie brała</w:t>
      </w:r>
      <w:r>
        <w:t xml:space="preserve"> udziału w rynku mocy ze względu na udział w dedykowanych tym technologiom </w:t>
      </w:r>
      <w:r w:rsidR="00164060">
        <w:t xml:space="preserve">systemom </w:t>
      </w:r>
      <w:r>
        <w:t xml:space="preserve">wsparcia. Do takich technologii zalicza się: elektrownie wiatrowe lądowe, </w:t>
      </w:r>
      <w:r w:rsidRPr="00956C9B">
        <w:t>elektrownie słoneczne</w:t>
      </w:r>
      <w:r>
        <w:t xml:space="preserve">, elektrownie </w:t>
      </w:r>
      <w:proofErr w:type="spellStart"/>
      <w:r>
        <w:t>biomasowe</w:t>
      </w:r>
      <w:proofErr w:type="spellEnd"/>
      <w:r>
        <w:t xml:space="preserve">, elektrownie biogazowe, </w:t>
      </w:r>
      <w:r w:rsidRPr="00956C9B">
        <w:t>instalacje termicznego prze</w:t>
      </w:r>
      <w:r>
        <w:t>kształcania odpadów komunalnych</w:t>
      </w:r>
      <w:r w:rsidR="00C36622">
        <w:t xml:space="preserve"> i</w:t>
      </w:r>
      <w:r>
        <w:t xml:space="preserve"> </w:t>
      </w:r>
      <w:r w:rsidRPr="00956C9B">
        <w:t xml:space="preserve">elektrownie </w:t>
      </w:r>
      <w:r>
        <w:t xml:space="preserve">wodne przepływowe. </w:t>
      </w:r>
      <w:r w:rsidR="00EE15FC">
        <w:t>W celu oszacowania mocy dostępnej dla OSP z tych źródeł w roku 2021, 2022 oraz 2023</w:t>
      </w:r>
      <w:r>
        <w:t xml:space="preserve"> założono różne warianty rozwoju OZE</w:t>
      </w:r>
      <w:r w:rsidR="00EE15FC">
        <w:t xml:space="preserve">. </w:t>
      </w:r>
    </w:p>
    <w:p w14:paraId="72CB12B3" w14:textId="5889E6D1" w:rsidR="006F728B" w:rsidRDefault="00EE15FC" w:rsidP="006F728B">
      <w:pPr>
        <w:pStyle w:val="ARTartustawynprozporzdzenia"/>
        <w:ind w:firstLine="0"/>
      </w:pPr>
      <w:r>
        <w:t>Dodatkowo, ze względu na fakt, że część źródeł OZE w cert</w:t>
      </w:r>
      <w:r w:rsidR="00C84A7E">
        <w:t>yfikacji ogólnej zadeklarował</w:t>
      </w:r>
      <w:r>
        <w:t>a chęć udziału w najbliższej aukcji głównej w analizie wzięto pod uwag</w:t>
      </w:r>
      <w:r w:rsidR="00C84A7E">
        <w:t>ę</w:t>
      </w:r>
      <w:r w:rsidR="006F728B">
        <w:t xml:space="preserve"> ich </w:t>
      </w:r>
      <w:r>
        <w:t>ewentualny udział</w:t>
      </w:r>
      <w:r w:rsidR="006F728B">
        <w:t xml:space="preserve"> w rynku mocy. Dla tak założonych wariantów OZE i dwóch wariantów prognozy zapotrzebowania na moc</w:t>
      </w:r>
      <w:r w:rsidR="00164060">
        <w:t>,</w:t>
      </w:r>
      <w:r w:rsidR="006F728B">
        <w:t xml:space="preserve"> dokonano </w:t>
      </w:r>
      <w:r w:rsidR="006F728B" w:rsidRPr="007C784D">
        <w:t>probabilistycznej analizy scenariuszy, odrębnie dla każdego</w:t>
      </w:r>
      <w:r w:rsidR="006F728B">
        <w:t xml:space="preserve"> kwartału roku dostaw, wyznaczając</w:t>
      </w:r>
      <w:r w:rsidR="006F728B" w:rsidRPr="007C784D">
        <w:t xml:space="preserve"> </w:t>
      </w:r>
      <w:r w:rsidR="006F728B">
        <w:t>zapotrzebowania na moc w aukcji. Kwartał o najniższym zapotrzebowaniu na moc wyznaczył zapotrzebow</w:t>
      </w:r>
      <w:r w:rsidR="00C84A7E">
        <w:t xml:space="preserve">anie na moc w aukcji głównej, a </w:t>
      </w:r>
      <w:r w:rsidR="006F728B">
        <w:t xml:space="preserve">moc z pozostałych trzech kwartałów została skierowana na aukcję dodatkową. Na końcu otrzymane zapotrzebowanie na moc w aukcji głównej zostało pomniejszone o 1160 MW, wynikające z decyzji Komisji Europejskiej, jako moc skierowana </w:t>
      </w:r>
      <w:r>
        <w:t xml:space="preserve">również </w:t>
      </w:r>
      <w:r w:rsidR="006F728B">
        <w:t xml:space="preserve">na aukcje </w:t>
      </w:r>
      <w:r w:rsidR="00C36622">
        <w:t>dodatkowe</w:t>
      </w:r>
      <w:r w:rsidR="006F728B">
        <w:t xml:space="preserve">, w  związku brakiem udziału </w:t>
      </w:r>
      <w:r>
        <w:t xml:space="preserve">jednostek </w:t>
      </w:r>
      <w:r w:rsidR="006F728B">
        <w:t>zagranicznych w pierwszych trzech aukcjach głównych</w:t>
      </w:r>
      <w:r>
        <w:t xml:space="preserve"> (art. 92 ustawy)</w:t>
      </w:r>
      <w:r w:rsidR="006F728B">
        <w:t xml:space="preserve">. </w:t>
      </w:r>
    </w:p>
    <w:p w14:paraId="739953DC" w14:textId="5E692DFC" w:rsidR="006F728B" w:rsidRDefault="006F728B" w:rsidP="006F728B">
      <w:pPr>
        <w:pStyle w:val="ARTartustawynprozporzdzenia"/>
        <w:ind w:firstLine="0"/>
      </w:pPr>
      <w:r>
        <w:lastRenderedPageBreak/>
        <w:t xml:space="preserve">Warto podkreślić, że Zespół Doradczy zwrócił uwagę na założenie dotyczące udziału jednostek kogeneracji w aukcji. OSP założyło bowiem, że wszystkie </w:t>
      </w:r>
      <w:r w:rsidRPr="004470B3">
        <w:t>jednostki kogeneracyjne będą brały udział w rynku mocy</w:t>
      </w:r>
      <w:r>
        <w:t xml:space="preserve"> z pełną ich dopuszczalną mocą. Założenie to ma silny wpływ na wartość mocy jaką należy </w:t>
      </w:r>
      <w:r w:rsidR="00AE16AB">
        <w:t>za</w:t>
      </w:r>
      <w:r>
        <w:t xml:space="preserve">kupić w aukcji mocy. Zespół </w:t>
      </w:r>
      <w:r w:rsidR="00EE15FC">
        <w:t xml:space="preserve">Doradczy </w:t>
      </w:r>
      <w:r w:rsidR="00C647D5">
        <w:t>zauważył</w:t>
      </w:r>
      <w:r>
        <w:t xml:space="preserve">, że nie wszystkie jednostki </w:t>
      </w:r>
      <w:r w:rsidR="00EE15FC">
        <w:t>kogeneracji</w:t>
      </w:r>
      <w:r>
        <w:t xml:space="preserve"> wezmą udział w rynku mocy, ze względu na ob</w:t>
      </w:r>
      <w:r w:rsidR="00EE15FC">
        <w:t>awę, że ich ewentualny udział w </w:t>
      </w:r>
      <w:r>
        <w:t>aukcj</w:t>
      </w:r>
      <w:r w:rsidR="00C647D5">
        <w:t>ach</w:t>
      </w:r>
      <w:r>
        <w:t xml:space="preserve"> głównych w 2018 r. wykluczy te jednostki z nowego systemu wsparcia dla kogeneracji. Do czasu rozpoczęcia certyfikacji do aukcji</w:t>
      </w:r>
      <w:r w:rsidRPr="00DC273C">
        <w:t xml:space="preserve"> </w:t>
      </w:r>
      <w:r w:rsidR="00C647D5">
        <w:t xml:space="preserve">tj. </w:t>
      </w:r>
      <w:r w:rsidRPr="00DC273C">
        <w:t>5 września br., w której dostawcy mocy muszą zadeklarować moc oferowaną podczas aukcji</w:t>
      </w:r>
      <w:r w:rsidR="00C647D5">
        <w:t>,</w:t>
      </w:r>
      <w:r w:rsidRPr="00DC273C">
        <w:t xml:space="preserve"> </w:t>
      </w:r>
      <w:r>
        <w:t xml:space="preserve">nie będą znane szczegółowe zasady nowego systemu wsparcia dla kogeneracji. Niemniej jednak Minister Energii, jako projektodawca nowego systemu wsparcia dla kogeneracji, stoi na stanowisku, że jednostki kogeneracji, które wystartują w aukcjach głównych na rok dostaw 2021, 2022 oraz 2023 </w:t>
      </w:r>
      <w:r>
        <w:rPr>
          <w:rStyle w:val="Ppogrubienie"/>
        </w:rPr>
        <w:t>nie powinny być</w:t>
      </w:r>
      <w:r w:rsidRPr="000C3E4D">
        <w:rPr>
          <w:rStyle w:val="Ppogrubienie"/>
        </w:rPr>
        <w:t xml:space="preserve"> wykluczone</w:t>
      </w:r>
      <w:r>
        <w:t xml:space="preserve"> z projektowanego systemu wsparcia dla kogeneracji. Minister</w:t>
      </w:r>
      <w:r w:rsidR="00C84A7E">
        <w:t>stwo</w:t>
      </w:r>
      <w:r>
        <w:t xml:space="preserve"> Energii przygotuje odpowiednią zasadę kumulacji pomocy, tak aby nie dochodziło do nad</w:t>
      </w:r>
      <w:r w:rsidR="00AE16AB">
        <w:t xml:space="preserve">miernego </w:t>
      </w:r>
      <w:r>
        <w:t>wsparcia poprzez udział w dwóch systemach. Należy zauważyć, że obecnie istnieje już podob</w:t>
      </w:r>
      <w:r w:rsidR="00C647D5">
        <w:t>n</w:t>
      </w:r>
      <w:r>
        <w:t>a sytuacja w przypadku źródeł wytwórczych współspalających węgiel i biomasę. Zgodnie z obowiązującymi przepisami</w:t>
      </w:r>
      <w:r w:rsidR="00C647D5">
        <w:t>,</w:t>
      </w:r>
      <w:r>
        <w:t xml:space="preserve"> mogą one jednocześnie uczestniczyć w rynku mocy oraz w dedykowanym systemie wsparcia OZE.</w:t>
      </w:r>
      <w:r w:rsidR="00EE15FC">
        <w:t xml:space="preserve"> Takie założenie co do łączenia udziału w systemie wsparcia CHP oraz w rynku mocy powinno pozwolić na pełny udział jednostek CHP w rynku </w:t>
      </w:r>
      <w:r w:rsidR="00EE15FC" w:rsidRPr="006B2778">
        <w:t>mocy.</w:t>
      </w:r>
    </w:p>
    <w:p w14:paraId="5C33226B" w14:textId="08962147" w:rsidR="006F728B" w:rsidRDefault="006F728B" w:rsidP="006F728B">
      <w:pPr>
        <w:pStyle w:val="ARTartustawynprozporzdzenia"/>
        <w:ind w:firstLine="0"/>
      </w:pPr>
      <w:r>
        <w:t xml:space="preserve">Ze względu na fakt, że w projektowanym rozporządzeniu określane jest prognozowane zapotrzebowanie na moc dla trzech aukcji głównych oraz </w:t>
      </w:r>
      <w:r w:rsidR="00C647D5">
        <w:t xml:space="preserve">istnieje </w:t>
      </w:r>
      <w:r>
        <w:t>możliwość zawierania umów mocowych wieloletnich, z dużym prawdopodobieństwem należy stwierdzić, że moc do zakupienia na aukcj</w:t>
      </w:r>
      <w:r w:rsidR="00C647D5">
        <w:t>ach</w:t>
      </w:r>
      <w:r>
        <w:t xml:space="preserve"> na rok dostaw 2022 oraz 2023 będzie mniejsza od wartości wskazanej w § </w:t>
      </w:r>
      <w:r w:rsidRPr="007E2FED">
        <w:t xml:space="preserve">2 ust. 1 pkt 2 </w:t>
      </w:r>
      <w:r w:rsidR="00C647D5">
        <w:t>i 3</w:t>
      </w:r>
      <w:r>
        <w:t>. Zatem zapotrzebowane na moc w aukcji na rok dostaw 2022</w:t>
      </w:r>
      <w:r w:rsidR="00164060">
        <w:t>,</w:t>
      </w:r>
      <w:r>
        <w:t xml:space="preserve"> będzie wynikową wolumenu mocy zawartego w kontraktach wieloletnich w aukcji na rok dostaw 2021, a moc w aukcji na rok dostaw 2023</w:t>
      </w:r>
      <w:r w:rsidR="00164060">
        <w:t>,</w:t>
      </w:r>
      <w:r>
        <w:t xml:space="preserve"> będzie</w:t>
      </w:r>
      <w:r w:rsidRPr="00A86AB7">
        <w:t xml:space="preserve"> wyn</w:t>
      </w:r>
      <w:r>
        <w:t>ikową wolumenu mocy zawartego w </w:t>
      </w:r>
      <w:r w:rsidRPr="00A86AB7">
        <w:t>kontraktach wieloletnich w aukcji na rok dostaw 2021</w:t>
      </w:r>
      <w:r>
        <w:t xml:space="preserve"> i 2022.</w:t>
      </w:r>
    </w:p>
    <w:p w14:paraId="30BC5AAF" w14:textId="77BF3681" w:rsidR="006F728B" w:rsidRDefault="006F728B" w:rsidP="00F23FF7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>Cena wejścia na rynek nowej jednostki wytwórczej</w:t>
      </w:r>
      <w:r>
        <w:rPr>
          <w:rStyle w:val="Ppogrubienie"/>
        </w:rPr>
        <w:t xml:space="preserve"> - </w:t>
      </w:r>
      <w:proofErr w:type="spellStart"/>
      <w:r>
        <w:rPr>
          <w:rStyle w:val="Ppogrubienie"/>
        </w:rPr>
        <w:t>CeWe</w:t>
      </w:r>
      <w:proofErr w:type="spellEnd"/>
      <w:r>
        <w:rPr>
          <w:rStyle w:val="Ppogrubienie"/>
        </w:rPr>
        <w:t xml:space="preserve"> 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3)</w:t>
      </w:r>
    </w:p>
    <w:p w14:paraId="44EFB00F" w14:textId="08124950" w:rsidR="006F728B" w:rsidRPr="00C1135E" w:rsidRDefault="006F728B" w:rsidP="006F728B">
      <w:pPr>
        <w:pStyle w:val="ARTartustawynprozporzdzenia"/>
      </w:pPr>
      <w:r w:rsidRPr="00C1135E">
        <w:t xml:space="preserve">Do </w:t>
      </w:r>
      <w:r w:rsidR="00F23FF7">
        <w:t>wyznaczenia</w:t>
      </w:r>
      <w:r w:rsidRPr="00C1135E">
        <w:t xml:space="preserve"> </w:t>
      </w:r>
      <w:r w:rsidR="00164060">
        <w:t xml:space="preserve">tego </w:t>
      </w:r>
      <w:r w:rsidR="00C647D5">
        <w:t xml:space="preserve">parametru </w:t>
      </w:r>
      <w:r w:rsidR="006B2778">
        <w:t>przyjęt</w:t>
      </w:r>
      <w:r w:rsidRPr="00C1135E">
        <w:t>o następujące technologie: tur</w:t>
      </w:r>
      <w:r w:rsidR="00F23FF7">
        <w:t>bina gazowa w </w:t>
      </w:r>
      <w:r w:rsidR="00FB0FFF">
        <w:t>układzie prostym i silnik tłokowy</w:t>
      </w:r>
      <w:r>
        <w:t>.</w:t>
      </w:r>
      <w:r w:rsidR="00F23FF7">
        <w:t xml:space="preserve"> Początkowo analizowano również bloki gazowo-parowe, lecz okazały się one droższe od ww. technologii.</w:t>
      </w:r>
      <w:r>
        <w:t xml:space="preserve"> OSP</w:t>
      </w:r>
      <w:r w:rsidRPr="00C1135E">
        <w:t xml:space="preserve"> przeanalizowa</w:t>
      </w:r>
      <w:r w:rsidR="00F23FF7">
        <w:t>ł inwestycje w podobne źródła w </w:t>
      </w:r>
      <w:r w:rsidRPr="00C1135E">
        <w:t xml:space="preserve">Polsce </w:t>
      </w:r>
      <w:r w:rsidR="00164060">
        <w:t>i</w:t>
      </w:r>
      <w:r w:rsidR="00164060" w:rsidRPr="00C1135E">
        <w:t xml:space="preserve"> </w:t>
      </w:r>
      <w:r w:rsidRPr="00C1135E">
        <w:t xml:space="preserve">na świecie, ale ostatecznie swoje obliczenia oparł </w:t>
      </w:r>
      <w:r w:rsidR="00F23FF7">
        <w:t xml:space="preserve">na danych </w:t>
      </w:r>
      <w:r w:rsidR="00F23FF7">
        <w:lastRenderedPageBreak/>
        <w:t>pochodzących z </w:t>
      </w:r>
      <w:r w:rsidRPr="00C1135E">
        <w:t>World Energy Outlook (zagregowanych). Warto podkreślić, że całkowite nakłady inwestycyjne pomiędzy projektami w te same technologie różnią się od siebie znacznie, a na całkowite koszty ma wpływ szereg czynników.</w:t>
      </w:r>
      <w:r>
        <w:t xml:space="preserve"> </w:t>
      </w:r>
      <w:r w:rsidRPr="00C1135E">
        <w:t xml:space="preserve"> </w:t>
      </w:r>
    </w:p>
    <w:p w14:paraId="037F9CE3" w14:textId="6C33236E" w:rsidR="001B4037" w:rsidRDefault="006F728B" w:rsidP="006F728B">
      <w:pPr>
        <w:pStyle w:val="ARTartustawynprozporzdzenia"/>
        <w:ind w:firstLine="0"/>
      </w:pPr>
      <w:r w:rsidRPr="00C1135E">
        <w:t>Zgodnie z art. 31 ust</w:t>
      </w:r>
      <w:r w:rsidR="00C647D5">
        <w:t>.</w:t>
      </w:r>
      <w:r w:rsidRPr="00C1135E">
        <w:t xml:space="preserve"> 1 pkt 2 ustawy</w:t>
      </w:r>
      <w:r w:rsidR="00C647D5">
        <w:t>,</w:t>
      </w:r>
      <w:r w:rsidRPr="00C1135E">
        <w:t xml:space="preserve"> cena wejścia na rynek nowej jednostki wytwórczej powinna odzwierciedlać alternatywny koszt pozyskania mocy poprzez budowę jednostki wytwórczej o </w:t>
      </w:r>
      <w:r w:rsidRPr="00C1135E">
        <w:rPr>
          <w:rStyle w:val="Ppogrubienie"/>
        </w:rPr>
        <w:t xml:space="preserve">najmniejszych </w:t>
      </w:r>
      <w:r w:rsidRPr="00C1135E">
        <w:t xml:space="preserve">operacyjnych i kapitałowych kosztach stałych. </w:t>
      </w:r>
      <w:r w:rsidR="00C647D5">
        <w:t>Wobec powyższego,</w:t>
      </w:r>
      <w:r w:rsidR="00C647D5" w:rsidRPr="00C1135E">
        <w:t xml:space="preserve"> </w:t>
      </w:r>
      <w:r w:rsidRPr="00C1135E">
        <w:t>Zespół</w:t>
      </w:r>
      <w:r>
        <w:t xml:space="preserve"> Doradczy</w:t>
      </w:r>
      <w:r w:rsidRPr="00C1135E">
        <w:t xml:space="preserve"> zwrócił się do dwóch renomowanych dostawców rozwiązań OCGT i CCGT</w:t>
      </w:r>
      <w:r w:rsidR="00C647D5">
        <w:t>,</w:t>
      </w:r>
      <w:r w:rsidRPr="00C1135E">
        <w:t xml:space="preserve"> z prośbą o podanie </w:t>
      </w:r>
      <w:r w:rsidRPr="002B1D3F">
        <w:rPr>
          <w:rStyle w:val="Ppogrubienie"/>
        </w:rPr>
        <w:t>aktualnych</w:t>
      </w:r>
      <w:r>
        <w:t xml:space="preserve"> nakładów inwestycyjnych na ww. </w:t>
      </w:r>
      <w:r w:rsidRPr="00C1135E">
        <w:t>technologie. Po otrzymaniu stosowych danych oraz po wysłuchaniu wyjaśnień OSP, Zespół</w:t>
      </w:r>
      <w:r w:rsidR="00F23FF7">
        <w:t xml:space="preserve"> Doradczy</w:t>
      </w:r>
      <w:r w:rsidRPr="00C1135E">
        <w:t xml:space="preserve"> </w:t>
      </w:r>
      <w:r>
        <w:t>zlecił</w:t>
      </w:r>
      <w:r w:rsidRPr="00C1135E">
        <w:t xml:space="preserve"> ponowne przepro</w:t>
      </w:r>
      <w:r>
        <w:t xml:space="preserve">wadzenie wyliczeń </w:t>
      </w:r>
      <w:proofErr w:type="spellStart"/>
      <w:r>
        <w:t>CeWe</w:t>
      </w:r>
      <w:proofErr w:type="spellEnd"/>
      <w:r>
        <w:t>. Minister Energii przychylił się w tym zakresie do uwag Zespołu</w:t>
      </w:r>
      <w:r w:rsidR="00F23FF7">
        <w:t xml:space="preserve"> Doradczego</w:t>
      </w:r>
      <w:r>
        <w:t xml:space="preserve"> i jako wartość </w:t>
      </w:r>
      <w:proofErr w:type="spellStart"/>
      <w:r>
        <w:t>CeWe</w:t>
      </w:r>
      <w:proofErr w:type="spellEnd"/>
      <w:r>
        <w:t xml:space="preserve"> przyj</w:t>
      </w:r>
      <w:r w:rsidR="00164060">
        <w:t>ął</w:t>
      </w:r>
      <w:r>
        <w:t xml:space="preserve"> wartość rekomendowaną przez Zespół Doradczy.</w:t>
      </w:r>
      <w:r w:rsidRPr="002414AF">
        <w:t xml:space="preserve"> Wartości na lata</w:t>
      </w:r>
      <w:r w:rsidR="00107BB7">
        <w:t xml:space="preserve"> 2021-2023 zostały wyznaczone z </w:t>
      </w:r>
      <w:r w:rsidRPr="002414AF">
        <w:t xml:space="preserve">uwzględnieniem </w:t>
      </w:r>
      <w:r w:rsidR="0068121D">
        <w:t xml:space="preserve">założonej </w:t>
      </w:r>
      <w:r w:rsidRPr="002414AF">
        <w:t>inflacji</w:t>
      </w:r>
      <w:r w:rsidR="00AE55D1" w:rsidRPr="00AE55D1">
        <w:t xml:space="preserve"> </w:t>
      </w:r>
      <w:r w:rsidR="00AE55D1">
        <w:t>według prognoz Narodowego Banku Polskiego.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1"/>
        <w:gridCol w:w="1852"/>
        <w:gridCol w:w="2376"/>
        <w:gridCol w:w="2035"/>
      </w:tblGrid>
      <w:tr w:rsidR="001B4037" w14:paraId="1E139205" w14:textId="77777777" w:rsidTr="00844846">
        <w:tc>
          <w:tcPr>
            <w:tcW w:w="2781" w:type="dxa"/>
          </w:tcPr>
          <w:p w14:paraId="51B25C13" w14:textId="77777777" w:rsidR="001B4037" w:rsidRPr="001B4037" w:rsidRDefault="001B4037" w:rsidP="001B4037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1B4037">
              <w:rPr>
                <w:b/>
              </w:rPr>
              <w:t>Parametr</w:t>
            </w:r>
          </w:p>
        </w:tc>
        <w:tc>
          <w:tcPr>
            <w:tcW w:w="1852" w:type="dxa"/>
          </w:tcPr>
          <w:p w14:paraId="428313CD" w14:textId="77777777" w:rsidR="001B4037" w:rsidRPr="001B4037" w:rsidRDefault="001B4037" w:rsidP="006F728B">
            <w:pPr>
              <w:pStyle w:val="ARTartustawynprozporzdzenia"/>
              <w:ind w:firstLine="0"/>
              <w:rPr>
                <w:b/>
              </w:rPr>
            </w:pPr>
            <w:r w:rsidRPr="001B4037">
              <w:rPr>
                <w:b/>
              </w:rPr>
              <w:t>Jednostka</w:t>
            </w:r>
          </w:p>
        </w:tc>
        <w:tc>
          <w:tcPr>
            <w:tcW w:w="4411" w:type="dxa"/>
            <w:gridSpan w:val="2"/>
          </w:tcPr>
          <w:p w14:paraId="399B8394" w14:textId="77777777" w:rsidR="001B4037" w:rsidRPr="001B4037" w:rsidRDefault="001B4037" w:rsidP="001B4037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1B4037">
              <w:rPr>
                <w:b/>
              </w:rPr>
              <w:t>Turbina gazowa w układzie prostym lub silnik tłokowy</w:t>
            </w:r>
          </w:p>
        </w:tc>
      </w:tr>
      <w:tr w:rsidR="00FB0FFF" w14:paraId="3186FFFB" w14:textId="77777777" w:rsidTr="00FB0FFF">
        <w:tc>
          <w:tcPr>
            <w:tcW w:w="2781" w:type="dxa"/>
          </w:tcPr>
          <w:p w14:paraId="6FD587B4" w14:textId="77777777" w:rsidR="00FB0FFF" w:rsidRDefault="00FB0FFF" w:rsidP="006F728B">
            <w:pPr>
              <w:pStyle w:val="ARTartustawynprozporzdzenia"/>
              <w:ind w:firstLine="0"/>
            </w:pPr>
            <w:r>
              <w:t>Rodzaj paliwa</w:t>
            </w:r>
          </w:p>
        </w:tc>
        <w:tc>
          <w:tcPr>
            <w:tcW w:w="1852" w:type="dxa"/>
          </w:tcPr>
          <w:p w14:paraId="6DC405F0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-</w:t>
            </w:r>
          </w:p>
        </w:tc>
        <w:tc>
          <w:tcPr>
            <w:tcW w:w="2376" w:type="dxa"/>
          </w:tcPr>
          <w:p w14:paraId="1424CAA4" w14:textId="77777777" w:rsidR="00FB0FFF" w:rsidRDefault="00FB0FFF" w:rsidP="001B4037">
            <w:pPr>
              <w:pStyle w:val="ARTartustawynprozporzdzenia"/>
              <w:jc w:val="center"/>
            </w:pPr>
            <w:r>
              <w:t>gazowe</w:t>
            </w:r>
          </w:p>
        </w:tc>
        <w:tc>
          <w:tcPr>
            <w:tcW w:w="2035" w:type="dxa"/>
          </w:tcPr>
          <w:p w14:paraId="627EB231" w14:textId="77777777" w:rsidR="00FB0FFF" w:rsidRDefault="00FB0FFF" w:rsidP="001B4037">
            <w:pPr>
              <w:pStyle w:val="ARTartustawynprozporzdzenia"/>
              <w:ind w:firstLine="0"/>
              <w:jc w:val="center"/>
            </w:pPr>
            <w:r>
              <w:t>ciekłe</w:t>
            </w:r>
          </w:p>
        </w:tc>
      </w:tr>
      <w:tr w:rsidR="00FB0FFF" w14:paraId="3D30A283" w14:textId="77777777" w:rsidTr="00FB0FFF">
        <w:tc>
          <w:tcPr>
            <w:tcW w:w="2781" w:type="dxa"/>
          </w:tcPr>
          <w:p w14:paraId="23171587" w14:textId="77777777" w:rsidR="00FB0FFF" w:rsidRDefault="00FB0FFF" w:rsidP="00FB0FFF">
            <w:pPr>
              <w:pStyle w:val="ARTartustawynprozporzdzenia"/>
              <w:ind w:firstLine="0"/>
            </w:pPr>
            <w:r>
              <w:t>Nakłady inwestycyjne</w:t>
            </w:r>
          </w:p>
          <w:p w14:paraId="47A1B19C" w14:textId="77777777" w:rsidR="00FB0FFF" w:rsidRDefault="00FB0FFF" w:rsidP="00FB0FFF">
            <w:pPr>
              <w:pStyle w:val="ARTartustawynprozporzdzenia"/>
            </w:pPr>
          </w:p>
        </w:tc>
        <w:tc>
          <w:tcPr>
            <w:tcW w:w="1852" w:type="dxa"/>
          </w:tcPr>
          <w:p w14:paraId="21279826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mln zł/MW netto</w:t>
            </w:r>
          </w:p>
        </w:tc>
        <w:tc>
          <w:tcPr>
            <w:tcW w:w="2376" w:type="dxa"/>
          </w:tcPr>
          <w:p w14:paraId="0704A18E" w14:textId="77777777" w:rsidR="00FB0FFF" w:rsidRDefault="00FB0FFF" w:rsidP="001B4037">
            <w:pPr>
              <w:pStyle w:val="ARTartustawynprozporzdzenia"/>
              <w:ind w:firstLine="0"/>
              <w:jc w:val="center"/>
            </w:pPr>
            <w:r>
              <w:t>2,00</w:t>
            </w:r>
          </w:p>
          <w:p w14:paraId="57B67D75" w14:textId="77777777" w:rsidR="00FB0FFF" w:rsidRDefault="00FB0FFF" w:rsidP="001B4037">
            <w:pPr>
              <w:pStyle w:val="ARTartustawynprozporzdzenia"/>
              <w:ind w:firstLine="0"/>
              <w:jc w:val="center"/>
            </w:pPr>
          </w:p>
        </w:tc>
        <w:tc>
          <w:tcPr>
            <w:tcW w:w="2035" w:type="dxa"/>
          </w:tcPr>
          <w:p w14:paraId="0EF7C62D" w14:textId="77777777" w:rsidR="00FB0FFF" w:rsidRDefault="00FB0FFF" w:rsidP="001B4037">
            <w:pPr>
              <w:pStyle w:val="ARTartustawynprozporzdzenia"/>
              <w:ind w:firstLine="0"/>
              <w:jc w:val="center"/>
            </w:pPr>
            <w:r>
              <w:t>2,00</w:t>
            </w:r>
          </w:p>
          <w:p w14:paraId="527A6990" w14:textId="77777777" w:rsidR="00FB0FFF" w:rsidRDefault="00FB0FFF" w:rsidP="001B4037">
            <w:pPr>
              <w:pStyle w:val="ARTartustawynprozporzdzenia"/>
              <w:jc w:val="center"/>
            </w:pPr>
          </w:p>
        </w:tc>
      </w:tr>
      <w:tr w:rsidR="00FB0FFF" w14:paraId="14CA67EF" w14:textId="77777777" w:rsidTr="00FB0FFF">
        <w:tc>
          <w:tcPr>
            <w:tcW w:w="2781" w:type="dxa"/>
          </w:tcPr>
          <w:p w14:paraId="0DD75655" w14:textId="77777777" w:rsidR="00FB0FFF" w:rsidRDefault="00FB0FFF" w:rsidP="006F728B">
            <w:pPr>
              <w:pStyle w:val="ARTartustawynprozporzdzenia"/>
              <w:ind w:firstLine="0"/>
            </w:pPr>
            <w:r w:rsidRPr="00FB0FFF">
              <w:t xml:space="preserve">WACC realny, </w:t>
            </w:r>
            <w:proofErr w:type="spellStart"/>
            <w:r w:rsidRPr="00FB0FFF">
              <w:t>pre-tax</w:t>
            </w:r>
            <w:proofErr w:type="spellEnd"/>
          </w:p>
        </w:tc>
        <w:tc>
          <w:tcPr>
            <w:tcW w:w="1852" w:type="dxa"/>
          </w:tcPr>
          <w:p w14:paraId="1917AD15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%</w:t>
            </w:r>
          </w:p>
        </w:tc>
        <w:tc>
          <w:tcPr>
            <w:tcW w:w="2376" w:type="dxa"/>
          </w:tcPr>
          <w:p w14:paraId="3C57CCEE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7,14</w:t>
            </w:r>
          </w:p>
        </w:tc>
        <w:tc>
          <w:tcPr>
            <w:tcW w:w="2035" w:type="dxa"/>
          </w:tcPr>
          <w:p w14:paraId="0F5D992F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7,14</w:t>
            </w:r>
          </w:p>
        </w:tc>
      </w:tr>
      <w:tr w:rsidR="00FB0FFF" w14:paraId="3583F118" w14:textId="77777777" w:rsidTr="00FB0FFF">
        <w:tc>
          <w:tcPr>
            <w:tcW w:w="2781" w:type="dxa"/>
          </w:tcPr>
          <w:p w14:paraId="3401F6B8" w14:textId="77777777" w:rsidR="00FB0FFF" w:rsidRDefault="00FB0FFF" w:rsidP="006F728B">
            <w:pPr>
              <w:pStyle w:val="ARTartustawynprozporzdzenia"/>
              <w:ind w:firstLine="0"/>
            </w:pPr>
            <w:r w:rsidRPr="00FB0FFF">
              <w:t>Czas życia jednostki</w:t>
            </w:r>
          </w:p>
        </w:tc>
        <w:tc>
          <w:tcPr>
            <w:tcW w:w="1852" w:type="dxa"/>
          </w:tcPr>
          <w:p w14:paraId="4A62C1D7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Lata</w:t>
            </w:r>
          </w:p>
        </w:tc>
        <w:tc>
          <w:tcPr>
            <w:tcW w:w="2376" w:type="dxa"/>
          </w:tcPr>
          <w:p w14:paraId="49B33C82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>
              <w:t>20</w:t>
            </w:r>
          </w:p>
        </w:tc>
        <w:tc>
          <w:tcPr>
            <w:tcW w:w="2035" w:type="dxa"/>
          </w:tcPr>
          <w:p w14:paraId="7C25142D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>
              <w:t>20</w:t>
            </w:r>
          </w:p>
        </w:tc>
      </w:tr>
      <w:tr w:rsidR="00FB0FFF" w14:paraId="0B76A715" w14:textId="77777777" w:rsidTr="00FB0FFF">
        <w:tc>
          <w:tcPr>
            <w:tcW w:w="2781" w:type="dxa"/>
          </w:tcPr>
          <w:p w14:paraId="21C4EB2E" w14:textId="77777777" w:rsidR="00FB0FFF" w:rsidRDefault="00FB0FFF" w:rsidP="006F728B">
            <w:pPr>
              <w:pStyle w:val="ARTartustawynprozporzdzenia"/>
              <w:ind w:firstLine="0"/>
            </w:pPr>
            <w:r w:rsidRPr="00FB0FFF">
              <w:t>Koszty stałe</w:t>
            </w:r>
          </w:p>
        </w:tc>
        <w:tc>
          <w:tcPr>
            <w:tcW w:w="1852" w:type="dxa"/>
          </w:tcPr>
          <w:p w14:paraId="1A7F05CD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zł/MW-rok</w:t>
            </w:r>
          </w:p>
        </w:tc>
        <w:tc>
          <w:tcPr>
            <w:tcW w:w="2376" w:type="dxa"/>
          </w:tcPr>
          <w:p w14:paraId="160E44E5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83 600</w:t>
            </w:r>
          </w:p>
        </w:tc>
        <w:tc>
          <w:tcPr>
            <w:tcW w:w="2035" w:type="dxa"/>
          </w:tcPr>
          <w:p w14:paraId="3C75BA3E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206 800</w:t>
            </w:r>
          </w:p>
        </w:tc>
      </w:tr>
      <w:tr w:rsidR="00FB0FFF" w14:paraId="06E7C431" w14:textId="77777777" w:rsidTr="00FB0FFF">
        <w:tc>
          <w:tcPr>
            <w:tcW w:w="2781" w:type="dxa"/>
          </w:tcPr>
          <w:p w14:paraId="61F479D6" w14:textId="77777777" w:rsidR="00FB0FFF" w:rsidRDefault="00FB0FFF" w:rsidP="006F728B">
            <w:pPr>
              <w:pStyle w:val="ARTartustawynprozporzdzenia"/>
              <w:ind w:firstLine="0"/>
            </w:pPr>
            <w:r w:rsidRPr="00FB0FFF">
              <w:t>Koszty kapitałowe</w:t>
            </w:r>
          </w:p>
        </w:tc>
        <w:tc>
          <w:tcPr>
            <w:tcW w:w="1852" w:type="dxa"/>
          </w:tcPr>
          <w:p w14:paraId="7AF30332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zł/MW-rok</w:t>
            </w:r>
          </w:p>
        </w:tc>
        <w:tc>
          <w:tcPr>
            <w:tcW w:w="2376" w:type="dxa"/>
          </w:tcPr>
          <w:p w14:paraId="57CE8A0D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190 800</w:t>
            </w:r>
          </w:p>
        </w:tc>
        <w:tc>
          <w:tcPr>
            <w:tcW w:w="2035" w:type="dxa"/>
          </w:tcPr>
          <w:p w14:paraId="2992FC5A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190 800</w:t>
            </w:r>
          </w:p>
        </w:tc>
      </w:tr>
      <w:tr w:rsidR="00FB0FFF" w14:paraId="44BB70BA" w14:textId="77777777" w:rsidTr="00FB0FFF">
        <w:tc>
          <w:tcPr>
            <w:tcW w:w="2781" w:type="dxa"/>
          </w:tcPr>
          <w:p w14:paraId="045E47D3" w14:textId="08348C25" w:rsidR="00FB0FFF" w:rsidRDefault="00F23FF7" w:rsidP="006F728B">
            <w:pPr>
              <w:pStyle w:val="ARTartustawynprozporzdzenia"/>
              <w:ind w:firstLine="0"/>
            </w:pPr>
            <w:r>
              <w:t>Marża z rynku energii</w:t>
            </w:r>
          </w:p>
        </w:tc>
        <w:tc>
          <w:tcPr>
            <w:tcW w:w="1852" w:type="dxa"/>
          </w:tcPr>
          <w:p w14:paraId="2FF609B9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zł/MW-ro</w:t>
            </w:r>
          </w:p>
        </w:tc>
        <w:tc>
          <w:tcPr>
            <w:tcW w:w="2376" w:type="dxa"/>
          </w:tcPr>
          <w:p w14:paraId="0CDFCE29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17 300</w:t>
            </w:r>
          </w:p>
        </w:tc>
        <w:tc>
          <w:tcPr>
            <w:tcW w:w="2035" w:type="dxa"/>
          </w:tcPr>
          <w:p w14:paraId="00F4A71B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89 400</w:t>
            </w:r>
          </w:p>
        </w:tc>
      </w:tr>
      <w:tr w:rsidR="00FB0FFF" w14:paraId="32823F70" w14:textId="77777777" w:rsidTr="00FB0FFF">
        <w:tc>
          <w:tcPr>
            <w:tcW w:w="2781" w:type="dxa"/>
          </w:tcPr>
          <w:p w14:paraId="65E07912" w14:textId="77777777" w:rsidR="00FB0FFF" w:rsidRDefault="00FB0FFF" w:rsidP="006F728B">
            <w:pPr>
              <w:pStyle w:val="ARTartustawynprozporzdzenia"/>
              <w:ind w:firstLine="0"/>
            </w:pPr>
            <w:r w:rsidRPr="00FB0FFF">
              <w:t>KWD</w:t>
            </w:r>
          </w:p>
        </w:tc>
        <w:tc>
          <w:tcPr>
            <w:tcW w:w="1852" w:type="dxa"/>
          </w:tcPr>
          <w:p w14:paraId="6F918340" w14:textId="77777777" w:rsidR="00FB0FFF" w:rsidRPr="001B4037" w:rsidRDefault="00FB0FFF" w:rsidP="001B4037">
            <w:pPr>
              <w:pStyle w:val="ARTartustawynprozporzdzenia"/>
              <w:ind w:firstLine="0"/>
              <w:jc w:val="center"/>
              <w:rPr>
                <w:i/>
              </w:rPr>
            </w:pPr>
            <w:r w:rsidRPr="001B4037">
              <w:rPr>
                <w:i/>
              </w:rPr>
              <w:t>%</w:t>
            </w:r>
          </w:p>
        </w:tc>
        <w:tc>
          <w:tcPr>
            <w:tcW w:w="2376" w:type="dxa"/>
          </w:tcPr>
          <w:p w14:paraId="3C6514AD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93,21</w:t>
            </w:r>
          </w:p>
        </w:tc>
        <w:tc>
          <w:tcPr>
            <w:tcW w:w="2035" w:type="dxa"/>
          </w:tcPr>
          <w:p w14:paraId="0CD71661" w14:textId="77777777" w:rsidR="00FB0FFF" w:rsidRDefault="001B4037" w:rsidP="001B4037">
            <w:pPr>
              <w:pStyle w:val="ARTartustawynprozporzdzenia"/>
              <w:ind w:firstLine="0"/>
              <w:jc w:val="center"/>
            </w:pPr>
            <w:r w:rsidRPr="001B4037">
              <w:t>93,21</w:t>
            </w:r>
          </w:p>
        </w:tc>
      </w:tr>
      <w:tr w:rsidR="00FB0FFF" w14:paraId="73972B87" w14:textId="77777777" w:rsidTr="00AA0E18">
        <w:tc>
          <w:tcPr>
            <w:tcW w:w="2781" w:type="dxa"/>
          </w:tcPr>
          <w:p w14:paraId="49C86801" w14:textId="77777777" w:rsidR="00FB0FFF" w:rsidRPr="001B4037" w:rsidRDefault="00FB0FFF" w:rsidP="006F728B">
            <w:pPr>
              <w:pStyle w:val="ARTartustawynprozporzdzenia"/>
              <w:ind w:firstLine="0"/>
              <w:rPr>
                <w:b/>
              </w:rPr>
            </w:pPr>
            <w:proofErr w:type="spellStart"/>
            <w:r w:rsidRPr="001B4037">
              <w:rPr>
                <w:b/>
              </w:rPr>
              <w:t>CeWe</w:t>
            </w:r>
            <w:proofErr w:type="spellEnd"/>
          </w:p>
        </w:tc>
        <w:tc>
          <w:tcPr>
            <w:tcW w:w="1852" w:type="dxa"/>
          </w:tcPr>
          <w:p w14:paraId="284AD0AC" w14:textId="77777777" w:rsidR="00FB0FFF" w:rsidRPr="001B4037" w:rsidRDefault="001B4037" w:rsidP="001B4037">
            <w:pPr>
              <w:pStyle w:val="ARTartustawynprozporzdzenia"/>
              <w:ind w:firstLine="0"/>
              <w:jc w:val="center"/>
              <w:rPr>
                <w:b/>
                <w:i/>
              </w:rPr>
            </w:pPr>
            <w:r w:rsidRPr="001B4037">
              <w:rPr>
                <w:b/>
                <w:i/>
              </w:rPr>
              <w:t>zł/</w:t>
            </w:r>
            <w:proofErr w:type="spellStart"/>
            <w:r w:rsidRPr="001B4037">
              <w:rPr>
                <w:b/>
                <w:i/>
              </w:rPr>
              <w:t>kWe</w:t>
            </w:r>
            <w:proofErr w:type="spellEnd"/>
            <w:r w:rsidRPr="001B4037">
              <w:rPr>
                <w:b/>
                <w:i/>
              </w:rPr>
              <w:t>-rok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593415F3" w14:textId="77777777" w:rsidR="00FB0FFF" w:rsidRPr="001B4037" w:rsidRDefault="001B4037" w:rsidP="001B4037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1B4037">
              <w:rPr>
                <w:b/>
              </w:rPr>
              <w:t>276</w:t>
            </w:r>
          </w:p>
        </w:tc>
        <w:tc>
          <w:tcPr>
            <w:tcW w:w="2035" w:type="dxa"/>
          </w:tcPr>
          <w:p w14:paraId="3E3ADF59" w14:textId="77777777" w:rsidR="00FB0FFF" w:rsidRPr="001B4037" w:rsidRDefault="001B4037" w:rsidP="001B4037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1B4037">
              <w:rPr>
                <w:b/>
              </w:rPr>
              <w:t>331</w:t>
            </w:r>
          </w:p>
        </w:tc>
      </w:tr>
    </w:tbl>
    <w:p w14:paraId="096DBDDA" w14:textId="77777777" w:rsidR="00FB0FFF" w:rsidRDefault="00FB0FFF" w:rsidP="006F728B">
      <w:pPr>
        <w:pStyle w:val="ARTartustawynprozporzdzenia"/>
        <w:ind w:firstLine="0"/>
      </w:pPr>
    </w:p>
    <w:p w14:paraId="2992C37B" w14:textId="77777777" w:rsidR="00247ABA" w:rsidRDefault="00247ABA" w:rsidP="006F728B">
      <w:pPr>
        <w:pStyle w:val="ARTartustawynprozporzdzenia"/>
        <w:ind w:firstLine="0"/>
      </w:pPr>
    </w:p>
    <w:p w14:paraId="7E6205F8" w14:textId="77777777" w:rsidR="00247ABA" w:rsidRPr="00C1135E" w:rsidRDefault="00247ABA" w:rsidP="006F728B">
      <w:pPr>
        <w:pStyle w:val="ARTartustawynprozporzdzenia"/>
        <w:ind w:firstLine="0"/>
      </w:pPr>
    </w:p>
    <w:p w14:paraId="52190593" w14:textId="673B66D6" w:rsidR="006F728B" w:rsidRDefault="006F728B" w:rsidP="007D2564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 xml:space="preserve">Współczynnik </w:t>
      </w:r>
      <w:r>
        <w:rPr>
          <w:rStyle w:val="Ppogrubienie"/>
        </w:rPr>
        <w:t>wyznaczający cenę maksymalną</w:t>
      </w:r>
      <w:r w:rsidRPr="0097528A">
        <w:rPr>
          <w:rStyle w:val="Ppogrubienie"/>
        </w:rPr>
        <w:t xml:space="preserve"> w aukcji głównej</w:t>
      </w:r>
      <w:r w:rsidR="007D2564">
        <w:rPr>
          <w:rStyle w:val="Ppogrubienie"/>
        </w:rPr>
        <w:t xml:space="preserve"> -A</w:t>
      </w:r>
      <w:r>
        <w:rPr>
          <w:rStyle w:val="Ppogrubienie"/>
        </w:rPr>
        <w:t xml:space="preserve"> 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97528A">
        <w:rPr>
          <w:rStyle w:val="Ppogrubienie"/>
        </w:rPr>
        <w:t>)</w:t>
      </w:r>
    </w:p>
    <w:p w14:paraId="24F7A6C8" w14:textId="00E325AE" w:rsidR="006F728B" w:rsidRPr="00B833CB" w:rsidRDefault="006F728B" w:rsidP="006F728B">
      <w:pPr>
        <w:pStyle w:val="ARTartustawynprozporzdzenia"/>
      </w:pPr>
      <w:r>
        <w:t>O</w:t>
      </w:r>
      <w:r w:rsidRPr="00B833CB">
        <w:t>kreślenie tego parametru należy d</w:t>
      </w:r>
      <w:r>
        <w:t xml:space="preserve">o </w:t>
      </w:r>
      <w:r w:rsidR="00AE16AB">
        <w:t xml:space="preserve">kompetencji </w:t>
      </w:r>
      <w:r>
        <w:t>Ministra Energii</w:t>
      </w:r>
      <w:r w:rsidR="00C647D5">
        <w:t>, wobec czego</w:t>
      </w:r>
      <w:r>
        <w:t xml:space="preserve"> parametr ten nie był proponowany przez OSP. Minister</w:t>
      </w:r>
      <w:r w:rsidR="00164060">
        <w:t xml:space="preserve"> </w:t>
      </w:r>
      <w:r>
        <w:t xml:space="preserve">Energii </w:t>
      </w:r>
      <w:r w:rsidR="00C647D5">
        <w:t>przy</w:t>
      </w:r>
      <w:r w:rsidR="00164060">
        <w:t>jął</w:t>
      </w:r>
      <w:r w:rsidR="00C647D5">
        <w:t xml:space="preserve"> </w:t>
      </w:r>
      <w:r>
        <w:t>w tym zakresie rekomendację Zespołu Doradczego. Zastosowano trzy różne wartości współczynnika skalarnego A ze względu na następujące fakty:</w:t>
      </w:r>
    </w:p>
    <w:p w14:paraId="4BC5F9FB" w14:textId="4FB364EE" w:rsidR="006F728B" w:rsidRPr="00B833CB" w:rsidRDefault="006F728B" w:rsidP="006F728B">
      <w:pPr>
        <w:pStyle w:val="ARTartustawynprozporzdzenia"/>
      </w:pPr>
      <w:r>
        <w:t>•</w:t>
      </w:r>
      <w:r>
        <w:tab/>
        <w:t>termin organizacji pierwszych dwóch</w:t>
      </w:r>
      <w:r w:rsidRPr="00B833CB">
        <w:t xml:space="preserve"> aukcji</w:t>
      </w:r>
      <w:r>
        <w:t xml:space="preserve"> głównych jest z mniejszym wyprzedzeniem w stosunku do roku dostaw</w:t>
      </w:r>
      <w:r w:rsidRPr="00B833CB">
        <w:t>, niż generalnie zakłada</w:t>
      </w:r>
      <w:r>
        <w:t xml:space="preserve"> to</w:t>
      </w:r>
      <w:r w:rsidRPr="00B833CB">
        <w:t xml:space="preserve"> ustawa,</w:t>
      </w:r>
    </w:p>
    <w:p w14:paraId="0513FC49" w14:textId="25293B49" w:rsidR="006F728B" w:rsidRPr="00B833CB" w:rsidRDefault="006F728B" w:rsidP="006F728B">
      <w:pPr>
        <w:pStyle w:val="ARTartustawynprozporzdzenia"/>
      </w:pPr>
      <w:r w:rsidRPr="00B833CB">
        <w:t>•</w:t>
      </w:r>
      <w:r w:rsidRPr="00B833CB">
        <w:tab/>
      </w:r>
      <w:r>
        <w:t>istnieje duże prawdopodobieństwo, że w pierwszej i drugiej aukcji głównej będzie stosunkowo duża ilość jednostek rynku mocy o statusie cenotwór</w:t>
      </w:r>
      <w:r w:rsidR="00385986">
        <w:t>c</w:t>
      </w:r>
      <w:r>
        <w:t>y. Jest to główn</w:t>
      </w:r>
      <w:r w:rsidR="00C647D5">
        <w:t>i</w:t>
      </w:r>
      <w:r>
        <w:t xml:space="preserve">e </w:t>
      </w:r>
      <w:r w:rsidR="00385986">
        <w:t>wynik</w:t>
      </w:r>
      <w:r>
        <w:t xml:space="preserve"> </w:t>
      </w:r>
      <w:r w:rsidR="00AE16AB">
        <w:t xml:space="preserve">regulacji zawartej w </w:t>
      </w:r>
      <w:r>
        <w:t>art. 96 ustawy,</w:t>
      </w:r>
    </w:p>
    <w:p w14:paraId="6AC237C9" w14:textId="77777777" w:rsidR="006F728B" w:rsidRDefault="006F728B" w:rsidP="006F728B">
      <w:pPr>
        <w:pStyle w:val="ARTartustawynprozporzdzenia"/>
      </w:pPr>
      <w:r w:rsidRPr="00B833CB">
        <w:t>•</w:t>
      </w:r>
      <w:r w:rsidRPr="00B833CB">
        <w:tab/>
      </w:r>
      <w:r>
        <w:t>w szerszym horyzoncie istnieje potrzeba</w:t>
      </w:r>
      <w:r w:rsidRPr="00B833CB">
        <w:t xml:space="preserve"> stworzenia efektu zachęty do rozwoju no</w:t>
      </w:r>
      <w:r>
        <w:t>wych technologii i inwestycji w </w:t>
      </w:r>
      <w:r w:rsidRPr="00B833CB">
        <w:t>nowe źródła, w tym rozwój magazynów energii</w:t>
      </w:r>
      <w:r>
        <w:t xml:space="preserve"> i DSR,</w:t>
      </w:r>
    </w:p>
    <w:p w14:paraId="37E30DDC" w14:textId="4E6B65C0" w:rsidR="006F728B" w:rsidRPr="00B833CB" w:rsidRDefault="006F728B" w:rsidP="006F728B">
      <w:pPr>
        <w:pStyle w:val="ARTartustawynprozporzdzenia"/>
      </w:pPr>
      <w:r w:rsidRPr="00B833CB">
        <w:t>•</w:t>
      </w:r>
      <w:r>
        <w:t xml:space="preserve"> prognozowane roczne koszty rynku mocy w pierwszym roku dostaw, zgodnie z Oceną Skutków Regulacji do ustawy powinny być na poziomie około 4 mld zł netto.</w:t>
      </w:r>
    </w:p>
    <w:p w14:paraId="1C9783B8" w14:textId="099D2964" w:rsidR="006F728B" w:rsidRDefault="006F728B" w:rsidP="00C11B98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>Parametr</w:t>
      </w:r>
      <w:r>
        <w:rPr>
          <w:rStyle w:val="Ppogrubienie"/>
        </w:rPr>
        <w:t>y</w:t>
      </w:r>
      <w:r w:rsidRPr="0097528A">
        <w:rPr>
          <w:rStyle w:val="Ppogrubienie"/>
        </w:rPr>
        <w:t xml:space="preserve"> wyznaczając</w:t>
      </w:r>
      <w:r>
        <w:rPr>
          <w:rStyle w:val="Ppogrubienie"/>
        </w:rPr>
        <w:t>e wielkość mocy,</w:t>
      </w:r>
      <w:r w:rsidRPr="0097528A">
        <w:rPr>
          <w:rStyle w:val="Ppogrubienie"/>
        </w:rPr>
        <w:t xml:space="preserve"> dla której cena osiąga wartość maksymalną</w:t>
      </w:r>
      <w:r w:rsidR="00844F28">
        <w:rPr>
          <w:rStyle w:val="Ppogrubienie"/>
        </w:rPr>
        <w:t xml:space="preserve"> (X)</w:t>
      </w:r>
      <w:r>
        <w:rPr>
          <w:rStyle w:val="Ppogrubienie"/>
        </w:rPr>
        <w:t xml:space="preserve"> i minimalną </w:t>
      </w:r>
      <w:r w:rsidR="00844F28">
        <w:rPr>
          <w:rStyle w:val="Ppogrubienie"/>
        </w:rPr>
        <w:t xml:space="preserve">(Y) </w:t>
      </w:r>
      <w:r>
        <w:rPr>
          <w:rStyle w:val="Ppogrubienie"/>
        </w:rPr>
        <w:t>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5 i 6</w:t>
      </w:r>
      <w:r w:rsidRPr="0097528A">
        <w:rPr>
          <w:rStyle w:val="Ppogrubienie"/>
        </w:rPr>
        <w:t>)</w:t>
      </w:r>
    </w:p>
    <w:p w14:paraId="3718E27C" w14:textId="75194C2E" w:rsidR="0011420E" w:rsidRDefault="00844F28" w:rsidP="00AE16AB">
      <w:pPr>
        <w:pStyle w:val="ARTartustawynprozporzdzenia"/>
        <w:ind w:firstLine="708"/>
        <w:rPr>
          <w:rStyle w:val="Ppogrubienie"/>
          <w:b w:val="0"/>
        </w:rPr>
      </w:pPr>
      <w:r w:rsidRPr="00844F28">
        <w:rPr>
          <w:rStyle w:val="Ppogrubienie"/>
          <w:b w:val="0"/>
        </w:rPr>
        <w:t>Proponowane wartości parametru wyznaczającego wielkość mocy, dla której cena osiąga odpowiednio wartość minimalną albo maksymalną wyznaczono w oparciu o analizę elastyczności cenowej zapotrzebowania na moc.</w:t>
      </w:r>
      <w:r>
        <w:rPr>
          <w:rStyle w:val="Ppogrubienie"/>
          <w:b w:val="0"/>
        </w:rPr>
        <w:t xml:space="preserve"> </w:t>
      </w:r>
      <w:r w:rsidRPr="00844F28">
        <w:rPr>
          <w:rStyle w:val="Ppogrubienie"/>
          <w:b w:val="0"/>
        </w:rPr>
        <w:t>W ramach analizy badano elastyczność cenową popytu na moc, przy założeniu, że zakup mocy odbywa się po cenie maksymalnej. Przy danej stałej cenie, redukcja popytu powoduje obniżenie kosztów zakupu mocy o iloczyn tej ceny i wielkości redukcji. Z drugiej strony</w:t>
      </w:r>
      <w:r w:rsidR="00A3639D">
        <w:rPr>
          <w:rStyle w:val="Ppogrubienie"/>
          <w:b w:val="0"/>
        </w:rPr>
        <w:t>,</w:t>
      </w:r>
      <w:r w:rsidRPr="00844F28">
        <w:rPr>
          <w:rStyle w:val="Ppogrubienie"/>
          <w:b w:val="0"/>
        </w:rPr>
        <w:t xml:space="preserve"> redukcja popytu (w rozpatrywanym przypadku </w:t>
      </w:r>
      <w:r w:rsidR="00C11B98">
        <w:rPr>
          <w:rStyle w:val="Ppogrubienie"/>
          <w:b w:val="0"/>
        </w:rPr>
        <w:t>zapotrzebowania na moc w aukcji głównej</w:t>
      </w:r>
      <w:r w:rsidRPr="00844F28">
        <w:rPr>
          <w:rStyle w:val="Ppogrubienie"/>
          <w:b w:val="0"/>
        </w:rPr>
        <w:t>)</w:t>
      </w:r>
      <w:r w:rsidR="00A3639D">
        <w:rPr>
          <w:rStyle w:val="Ppogrubienie"/>
          <w:b w:val="0"/>
        </w:rPr>
        <w:t>,</w:t>
      </w:r>
      <w:r w:rsidRPr="00844F28">
        <w:rPr>
          <w:rStyle w:val="Ppogrubienie"/>
          <w:b w:val="0"/>
        </w:rPr>
        <w:t xml:space="preserve"> zwiększa wartość oczekiwaną niedostarczonej energii, a tym samym jej koszt. W ramach analiz wyznaczono punkt równowagi, w którym zysk wynikający z redukcji kosztów zakupu mocy równoważony jest przez stratę w postaci kosztu niedostarczonej energii.</w:t>
      </w:r>
      <w:r>
        <w:rPr>
          <w:rStyle w:val="Ppogrubienie"/>
          <w:b w:val="0"/>
        </w:rPr>
        <w:t xml:space="preserve"> Pierwotnie zaproponowana wartość X i Y przez OSP wynosiła</w:t>
      </w:r>
      <w:r w:rsidR="00056BE6">
        <w:rPr>
          <w:rStyle w:val="Ppogrubienie"/>
          <w:b w:val="0"/>
        </w:rPr>
        <w:t xml:space="preserve"> dla trzech aukcji głównych</w:t>
      </w:r>
      <w:r>
        <w:rPr>
          <w:rStyle w:val="Ppogrubienie"/>
          <w:b w:val="0"/>
        </w:rPr>
        <w:t xml:space="preserve"> odpowiednio 3,94% i 2,53%. </w:t>
      </w:r>
      <w:r w:rsidRPr="0011420E">
        <w:rPr>
          <w:rStyle w:val="Ppogrubienie"/>
          <w:b w:val="0"/>
        </w:rPr>
        <w:t xml:space="preserve">W związku ze zmianami założeń co do </w:t>
      </w:r>
      <w:proofErr w:type="spellStart"/>
      <w:r w:rsidRPr="0011420E">
        <w:rPr>
          <w:rStyle w:val="Ppogrubienie"/>
          <w:b w:val="0"/>
        </w:rPr>
        <w:t>CeWe</w:t>
      </w:r>
      <w:proofErr w:type="spellEnd"/>
      <w:r w:rsidR="00A3639D" w:rsidRPr="0011420E">
        <w:rPr>
          <w:rStyle w:val="Ppogrubienie"/>
          <w:b w:val="0"/>
        </w:rPr>
        <w:t xml:space="preserve">, </w:t>
      </w:r>
      <w:r w:rsidRPr="0011420E">
        <w:rPr>
          <w:rStyle w:val="Ppogrubienie"/>
          <w:b w:val="0"/>
        </w:rPr>
        <w:t>dokonano wyliczeń nowych wartości X i Y.</w:t>
      </w:r>
      <w:r w:rsidR="00056BE6" w:rsidRPr="0011420E">
        <w:rPr>
          <w:rStyle w:val="Ppogrubienie"/>
          <w:b w:val="0"/>
        </w:rPr>
        <w:t xml:space="preserve"> Następnie</w:t>
      </w:r>
      <w:r w:rsidR="00A3639D" w:rsidRPr="0011420E">
        <w:rPr>
          <w:rStyle w:val="Ppogrubienie"/>
          <w:b w:val="0"/>
        </w:rPr>
        <w:t xml:space="preserve">, </w:t>
      </w:r>
      <w:r w:rsidR="00056BE6" w:rsidRPr="0011420E">
        <w:rPr>
          <w:rStyle w:val="Ppogrubienie"/>
          <w:b w:val="0"/>
        </w:rPr>
        <w:t>dokonano korekty tych wartości w związku z zaproponowanymi przez Zespół Doradczy wartościami parametru skalarnego A.</w:t>
      </w:r>
      <w:r w:rsidR="0011420E">
        <w:rPr>
          <w:rStyle w:val="Ppogrubienie"/>
          <w:b w:val="0"/>
        </w:rPr>
        <w:t xml:space="preserve"> </w:t>
      </w:r>
    </w:p>
    <w:p w14:paraId="118BF574" w14:textId="77777777" w:rsidR="00247ABA" w:rsidRPr="00844F28" w:rsidRDefault="00247ABA" w:rsidP="00AE16AB">
      <w:pPr>
        <w:pStyle w:val="ARTartustawynprozporzdzenia"/>
        <w:ind w:firstLine="708"/>
        <w:rPr>
          <w:rStyle w:val="Ppogrubienie"/>
          <w:b w:val="0"/>
        </w:rPr>
      </w:pPr>
    </w:p>
    <w:p w14:paraId="02E49543" w14:textId="0DDE7E1A" w:rsidR="006F728B" w:rsidRDefault="006F728B" w:rsidP="00367504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 xml:space="preserve">Cena maksymalna określona dla </w:t>
      </w:r>
      <w:proofErr w:type="spellStart"/>
      <w:r w:rsidRPr="0097528A">
        <w:rPr>
          <w:rStyle w:val="Ppogrubienie"/>
        </w:rPr>
        <w:t>cenobiorcy</w:t>
      </w:r>
      <w:proofErr w:type="spellEnd"/>
      <w:r w:rsidR="00367504">
        <w:rPr>
          <w:rStyle w:val="Ppogrubienie"/>
        </w:rPr>
        <w:t xml:space="preserve"> - </w:t>
      </w:r>
      <w:proofErr w:type="spellStart"/>
      <w:r w:rsidR="00367504">
        <w:rPr>
          <w:rStyle w:val="Ppogrubienie"/>
        </w:rPr>
        <w:t>CeCe</w:t>
      </w:r>
      <w:proofErr w:type="spellEnd"/>
      <w:r>
        <w:rPr>
          <w:rStyle w:val="Ppogrubienie"/>
        </w:rPr>
        <w:t xml:space="preserve"> 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7)</w:t>
      </w:r>
    </w:p>
    <w:p w14:paraId="163ED66D" w14:textId="1729E58C" w:rsidR="006F728B" w:rsidRPr="002521F0" w:rsidRDefault="00367504" w:rsidP="006F728B">
      <w:pPr>
        <w:pStyle w:val="ARTartustawynprozporzdzenia"/>
      </w:pPr>
      <w:r>
        <w:t xml:space="preserve">Maksymalna cena dla cenobiorcy </w:t>
      </w:r>
      <w:r w:rsidR="006F728B" w:rsidRPr="002521F0">
        <w:t xml:space="preserve">odzwierciedla koszty stałe istniejących jednostek wytwórczych. Cena ta </w:t>
      </w:r>
      <w:r w:rsidR="00A3639D" w:rsidRPr="002521F0">
        <w:t>wyznacz</w:t>
      </w:r>
      <w:r w:rsidR="00A3639D">
        <w:t>o</w:t>
      </w:r>
      <w:r w:rsidR="00A3639D" w:rsidRPr="002521F0">
        <w:t xml:space="preserve">na </w:t>
      </w:r>
      <w:r w:rsidR="006F728B" w:rsidRPr="002521F0">
        <w:t>została na podstawie danych statystycznych publikowanych przez A</w:t>
      </w:r>
      <w:r w:rsidR="00A3639D">
        <w:t xml:space="preserve">gencję </w:t>
      </w:r>
      <w:r w:rsidR="006F728B" w:rsidRPr="002521F0">
        <w:t>R</w:t>
      </w:r>
      <w:r w:rsidR="00A3639D">
        <w:t xml:space="preserve">ynku </w:t>
      </w:r>
      <w:r w:rsidR="006F728B" w:rsidRPr="002521F0">
        <w:t>E</w:t>
      </w:r>
      <w:r w:rsidR="00A3639D">
        <w:t>nergii</w:t>
      </w:r>
      <w:r>
        <w:t xml:space="preserve"> S.A. </w:t>
      </w:r>
      <w:r w:rsidR="006F728B" w:rsidRPr="002521F0">
        <w:t xml:space="preserve">Przy obliczaniu </w:t>
      </w:r>
      <w:proofErr w:type="spellStart"/>
      <w:r w:rsidR="006F728B" w:rsidRPr="002521F0">
        <w:t>CeCe</w:t>
      </w:r>
      <w:proofErr w:type="spellEnd"/>
      <w:r w:rsidR="006F728B" w:rsidRPr="002521F0">
        <w:t xml:space="preserve"> uwzględniono następujące koszty: </w:t>
      </w:r>
    </w:p>
    <w:p w14:paraId="03B4D817" w14:textId="77777777" w:rsidR="006F728B" w:rsidRPr="002521F0" w:rsidRDefault="006F728B" w:rsidP="00442309">
      <w:pPr>
        <w:pStyle w:val="ARTartustawynprozporzdzenia"/>
        <w:numPr>
          <w:ilvl w:val="0"/>
          <w:numId w:val="2"/>
        </w:numPr>
      </w:pPr>
      <w:r w:rsidRPr="002521F0">
        <w:t xml:space="preserve">amortyzacja; </w:t>
      </w:r>
    </w:p>
    <w:p w14:paraId="4BD28F38" w14:textId="77777777" w:rsidR="006F728B" w:rsidRPr="002521F0" w:rsidRDefault="006F728B" w:rsidP="00442309">
      <w:pPr>
        <w:pStyle w:val="ARTartustawynprozporzdzenia"/>
        <w:numPr>
          <w:ilvl w:val="0"/>
          <w:numId w:val="2"/>
        </w:numPr>
      </w:pPr>
      <w:r w:rsidRPr="002521F0">
        <w:t xml:space="preserve">materiały (koszty materiałów, których wielkość nie jest uzależniona od rozmiarów produkcji); </w:t>
      </w:r>
    </w:p>
    <w:p w14:paraId="67CD3F44" w14:textId="77777777" w:rsidR="006F728B" w:rsidRPr="002521F0" w:rsidRDefault="006F728B" w:rsidP="00442309">
      <w:pPr>
        <w:pStyle w:val="ARTartustawynprozporzdzenia"/>
        <w:numPr>
          <w:ilvl w:val="0"/>
          <w:numId w:val="2"/>
        </w:numPr>
      </w:pPr>
      <w:r w:rsidRPr="002521F0">
        <w:t xml:space="preserve">koszty pracy; </w:t>
      </w:r>
    </w:p>
    <w:p w14:paraId="4801116F" w14:textId="77777777" w:rsidR="006F728B" w:rsidRPr="002521F0" w:rsidRDefault="006F728B" w:rsidP="00442309">
      <w:pPr>
        <w:pStyle w:val="ARTartustawynprozporzdzenia"/>
        <w:numPr>
          <w:ilvl w:val="0"/>
          <w:numId w:val="2"/>
        </w:numPr>
      </w:pPr>
      <w:r w:rsidRPr="002521F0">
        <w:t xml:space="preserve">pozostałe koszty działalności podstawowej (koszty wydziałów pomocniczych, podatki i opłaty oraz pozostałe koszty); </w:t>
      </w:r>
    </w:p>
    <w:p w14:paraId="6C06A138" w14:textId="77777777" w:rsidR="006F728B" w:rsidRPr="002521F0" w:rsidRDefault="006F728B" w:rsidP="00442309">
      <w:pPr>
        <w:pStyle w:val="ARTartustawynprozporzdzenia"/>
        <w:numPr>
          <w:ilvl w:val="0"/>
          <w:numId w:val="2"/>
        </w:numPr>
      </w:pPr>
      <w:r w:rsidRPr="002521F0">
        <w:t xml:space="preserve">usługi obce. </w:t>
      </w:r>
    </w:p>
    <w:p w14:paraId="5563CFA3" w14:textId="3CF1173B" w:rsidR="006F728B" w:rsidRPr="002521F0" w:rsidRDefault="006F728B" w:rsidP="006F728B">
      <w:pPr>
        <w:pStyle w:val="ARTartustawynprozporzdzenia"/>
        <w:ind w:firstLine="0"/>
      </w:pPr>
      <w:r w:rsidRPr="002521F0">
        <w:t xml:space="preserve">Parametr </w:t>
      </w:r>
      <w:proofErr w:type="spellStart"/>
      <w:r w:rsidRPr="002521F0">
        <w:t>CeCe</w:t>
      </w:r>
      <w:proofErr w:type="spellEnd"/>
      <w:r w:rsidRPr="002521F0">
        <w:t xml:space="preserve"> obliczono w oparciu o koszty dla dwóch największych grup jednostek w KSE, czyli elektrowni zawodowych, w których paliwem pod</w:t>
      </w:r>
      <w:r w:rsidR="00367504">
        <w:t>stawowym jest węgiel kamienny i </w:t>
      </w:r>
      <w:r w:rsidRPr="002521F0">
        <w:t xml:space="preserve">brunatny. Przyjęto średnią ważoną moc zainstalowaną netto w tych technologiach. Na potrzeby obliczeń przyjęto poziom jednostkowego kosztu amortyzacji na poziomie 35 zł/kW-rok. Wartości na </w:t>
      </w:r>
      <w:r w:rsidR="00A3639D">
        <w:t>okresy dostaw</w:t>
      </w:r>
      <w:r w:rsidR="00BA15B6">
        <w:t xml:space="preserve"> 2021, 2022 oraz 2023</w:t>
      </w:r>
      <w:r w:rsidRPr="002521F0">
        <w:t xml:space="preserve"> zostały wyznaczone z uwzględnieniem </w:t>
      </w:r>
      <w:r w:rsidR="0068121D">
        <w:t xml:space="preserve">założonej </w:t>
      </w:r>
      <w:r w:rsidR="00AE55D1">
        <w:t>inflacji według prognoz Narodowego Banku Polskiego.</w:t>
      </w:r>
    </w:p>
    <w:p w14:paraId="71218870" w14:textId="4E149965" w:rsidR="006F728B" w:rsidRDefault="006F728B" w:rsidP="00275FE0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97528A">
        <w:rPr>
          <w:rStyle w:val="Ppogrubienie"/>
        </w:rPr>
        <w:t>Maksymalna liczba rund aukcji głównej</w:t>
      </w:r>
      <w:r>
        <w:rPr>
          <w:rStyle w:val="Ppogrubienie"/>
        </w:rPr>
        <w:t xml:space="preserve"> 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8)</w:t>
      </w:r>
    </w:p>
    <w:p w14:paraId="2E7C23EE" w14:textId="676ACA0E" w:rsidR="006F728B" w:rsidRPr="00B940C1" w:rsidRDefault="006F728B" w:rsidP="006F728B">
      <w:pPr>
        <w:pStyle w:val="ARTartustawynprozporzdzenia"/>
        <w:ind w:firstLine="0"/>
      </w:pPr>
      <w:r w:rsidRPr="00B940C1">
        <w:t xml:space="preserve">Dla efektywnego przebiegu aukcji </w:t>
      </w:r>
      <w:r w:rsidR="007D688F">
        <w:t>głó</w:t>
      </w:r>
      <w:r w:rsidR="00A3639D">
        <w:t>wnej</w:t>
      </w:r>
      <w:r w:rsidR="00A3639D" w:rsidRPr="00B940C1">
        <w:t xml:space="preserve"> </w:t>
      </w:r>
      <w:r w:rsidRPr="00B940C1">
        <w:t>liczba rund nie powinna być zbyt niska, ponieważ prowadziło</w:t>
      </w:r>
      <w:r w:rsidR="008F16CD">
        <w:t>by</w:t>
      </w:r>
      <w:r w:rsidRPr="00B940C1">
        <w:t xml:space="preserve"> </w:t>
      </w:r>
      <w:r w:rsidR="00A3639D">
        <w:t xml:space="preserve">to </w:t>
      </w:r>
      <w:r w:rsidRPr="00B940C1">
        <w:t>do dużego skoku ceny pomiędzy rundami. Ze względu na napięty harmonogram rynku mocy w 2018</w:t>
      </w:r>
      <w:r w:rsidR="00A3639D">
        <w:t xml:space="preserve"> roku,</w:t>
      </w:r>
      <w:r w:rsidRPr="00B940C1">
        <w:t xml:space="preserve"> aukcje </w:t>
      </w:r>
      <w:r w:rsidR="00A3639D">
        <w:t xml:space="preserve">główne </w:t>
      </w:r>
      <w:r w:rsidRPr="00B940C1">
        <w:t>będę jednodniowe, co jest istotnym ograniczeniem przy ustalaniu liczby rund aukcji. Z tego powodu OSP zaproponował 12 rund aukcji. Skok cenowy pomiędzy rundami, przy rekomendowanej cenie maksymalnej przez Zespół, daje poziom około 30 zł/</w:t>
      </w:r>
      <w:proofErr w:type="spellStart"/>
      <w:r w:rsidRPr="00B940C1">
        <w:t>kWe</w:t>
      </w:r>
      <w:proofErr w:type="spellEnd"/>
      <w:r w:rsidRPr="00B940C1">
        <w:t xml:space="preserve">-rok. W opinii Zespołu skok ten jest zbyt duży, dlatego Zespól </w:t>
      </w:r>
      <w:r w:rsidR="00A3639D">
        <w:t xml:space="preserve">zaproponował, </w:t>
      </w:r>
      <w:r w:rsidRPr="00B940C1">
        <w:t xml:space="preserve">żeby aukcja </w:t>
      </w:r>
      <w:r w:rsidR="00A3639D" w:rsidRPr="00B940C1">
        <w:t>trw</w:t>
      </w:r>
      <w:r w:rsidR="00A3639D">
        <w:t xml:space="preserve">ała </w:t>
      </w:r>
      <w:r w:rsidRPr="00B940C1">
        <w:t>maksymalnie 15 rund</w:t>
      </w:r>
      <w:r w:rsidR="00A3639D">
        <w:t xml:space="preserve">. </w:t>
      </w:r>
      <w:r w:rsidRPr="00B940C1">
        <w:t xml:space="preserve">Taka propozycja </w:t>
      </w:r>
      <w:r w:rsidR="00A3639D">
        <w:t>zakłada</w:t>
      </w:r>
      <w:r w:rsidRPr="00B940C1">
        <w:t xml:space="preserve"> czas</w:t>
      </w:r>
      <w:r w:rsidR="00A3639D">
        <w:t xml:space="preserve"> </w:t>
      </w:r>
      <w:r w:rsidRPr="00B940C1">
        <w:t>trwania każdej rundy na poziomie 25 minut oraz czas pomiędzy rundami na poziomie 15-20 minut. Wówczas</w:t>
      </w:r>
      <w:r w:rsidR="00A3639D">
        <w:t>,</w:t>
      </w:r>
      <w:r w:rsidRPr="00B940C1">
        <w:t xml:space="preserve"> zakładając najbardziej skrajny przypadek, czyli zakończeni</w:t>
      </w:r>
      <w:r w:rsidR="00A3639D">
        <w:t>e</w:t>
      </w:r>
      <w:r w:rsidR="00B639E0">
        <w:t xml:space="preserve"> aukcji </w:t>
      </w:r>
      <w:r w:rsidR="00B639E0">
        <w:lastRenderedPageBreak/>
        <w:t>w </w:t>
      </w:r>
      <w:r w:rsidRPr="00B940C1">
        <w:t>ostatniej rundzie, aukcja trwałaby około 10 godzin.</w:t>
      </w:r>
      <w:r w:rsidR="00A3639D">
        <w:t xml:space="preserve"> </w:t>
      </w:r>
      <w:r w:rsidR="00F3730A" w:rsidRPr="00F3730A">
        <w:t xml:space="preserve"> </w:t>
      </w:r>
      <w:r w:rsidR="00F3730A">
        <w:t xml:space="preserve">Minister Energii przyjął rekomendację Zespołu </w:t>
      </w:r>
      <w:r w:rsidR="00AD5382">
        <w:t xml:space="preserve">Doradczego </w:t>
      </w:r>
      <w:r w:rsidR="00F3730A">
        <w:t>w tym zakresie.</w:t>
      </w:r>
    </w:p>
    <w:p w14:paraId="6B7B2305" w14:textId="7A2A32FB" w:rsidR="006F728B" w:rsidRDefault="006F728B" w:rsidP="005D697B">
      <w:pPr>
        <w:pStyle w:val="ARTartustawynprozporzdzenia"/>
        <w:numPr>
          <w:ilvl w:val="1"/>
          <w:numId w:val="4"/>
        </w:numPr>
        <w:rPr>
          <w:rStyle w:val="Ppogrubienie"/>
        </w:rPr>
      </w:pPr>
      <w:r>
        <w:rPr>
          <w:rStyle w:val="Ppogrubienie"/>
        </w:rPr>
        <w:t>Jednostkowe</w:t>
      </w:r>
      <w:r w:rsidRPr="0097528A">
        <w:rPr>
          <w:rStyle w:val="Ppogrubienie"/>
        </w:rPr>
        <w:t xml:space="preserve"> poziom</w:t>
      </w:r>
      <w:r>
        <w:rPr>
          <w:rStyle w:val="Ppogrubienie"/>
        </w:rPr>
        <w:t>y</w:t>
      </w:r>
      <w:r w:rsidRPr="0097528A">
        <w:rPr>
          <w:rStyle w:val="Ppogrubienie"/>
        </w:rPr>
        <w:t xml:space="preserve"> nakładów inwestycyjnych</w:t>
      </w:r>
      <w:r>
        <w:rPr>
          <w:rStyle w:val="Ppogrubienie"/>
        </w:rPr>
        <w:t xml:space="preserve"> uprawniające do kontraktów wieloletnich (</w:t>
      </w:r>
      <w:r w:rsidRPr="0097528A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97528A">
        <w:rPr>
          <w:rStyle w:val="Ppogrubienie"/>
        </w:rPr>
        <w:t>)</w:t>
      </w:r>
    </w:p>
    <w:p w14:paraId="6DFB748B" w14:textId="4EC8A3C0" w:rsidR="00B763E9" w:rsidRDefault="00B763E9" w:rsidP="006F728B">
      <w:pPr>
        <w:pStyle w:val="ARTartustawynprozporzdzenia"/>
        <w:ind w:firstLine="0"/>
        <w:rPr>
          <w:rStyle w:val="Ppogrubienie"/>
          <w:b w:val="0"/>
        </w:rPr>
      </w:pPr>
      <w:r>
        <w:rPr>
          <w:rStyle w:val="Ppogrubienie"/>
          <w:b w:val="0"/>
        </w:rPr>
        <w:t xml:space="preserve">Zaproponowane jednostkowe nakłady inwestycyjne na poziomie 3 mln/MW </w:t>
      </w:r>
      <w:r w:rsidR="00EA1465">
        <w:rPr>
          <w:rStyle w:val="Ppogrubienie"/>
          <w:b w:val="0"/>
        </w:rPr>
        <w:t xml:space="preserve">netto </w:t>
      </w:r>
      <w:r>
        <w:rPr>
          <w:rStyle w:val="Ppogrubienie"/>
          <w:b w:val="0"/>
        </w:rPr>
        <w:t>dają możliwość ubiegania się o umowę</w:t>
      </w:r>
      <w:r w:rsidR="00EA1465">
        <w:rPr>
          <w:rStyle w:val="Ppogrubienie"/>
          <w:b w:val="0"/>
        </w:rPr>
        <w:t xml:space="preserve"> 15 letnią takim technologiom jak: elektrownie jądrowe, magazyny energii, elektrownie węglowe, elektrownie OZE oraz duż</w:t>
      </w:r>
      <w:r w:rsidR="00F3730A">
        <w:rPr>
          <w:rStyle w:val="Ppogrubienie"/>
          <w:b w:val="0"/>
        </w:rPr>
        <w:t>ej</w:t>
      </w:r>
      <w:r w:rsidR="00EA1465">
        <w:rPr>
          <w:rStyle w:val="Ppogrubienie"/>
          <w:b w:val="0"/>
        </w:rPr>
        <w:t xml:space="preserve"> </w:t>
      </w:r>
      <w:r w:rsidR="00F3730A">
        <w:rPr>
          <w:rStyle w:val="Ppogrubienie"/>
          <w:b w:val="0"/>
        </w:rPr>
        <w:t xml:space="preserve">części </w:t>
      </w:r>
      <w:r w:rsidR="00EA1465">
        <w:rPr>
          <w:rStyle w:val="Ppogrubienie"/>
          <w:b w:val="0"/>
        </w:rPr>
        <w:t xml:space="preserve">elektrowni gazowo-parowych. Zespół Doradczy </w:t>
      </w:r>
      <w:r w:rsidR="005D697B">
        <w:rPr>
          <w:rStyle w:val="Ppogrubienie"/>
          <w:b w:val="0"/>
        </w:rPr>
        <w:t>za</w:t>
      </w:r>
      <w:r w:rsidR="00EA1465">
        <w:rPr>
          <w:rStyle w:val="Ppogrubienie"/>
          <w:b w:val="0"/>
        </w:rPr>
        <w:t>rekomendował obniżenie tej wartości z 3 mln/MW netto do 2,8 mln/MW netto, lecz zmiana ta mogłaby stanowić naruszenie decyzji</w:t>
      </w:r>
      <w:r w:rsidR="00EA1465" w:rsidRPr="00EA1465">
        <w:rPr>
          <w:rStyle w:val="Ppogrubienie"/>
          <w:b w:val="0"/>
        </w:rPr>
        <w:t xml:space="preserve"> Komisji Europejskiej z dnia 7 lutego 2018 r. C(2018) 601 </w:t>
      </w:r>
      <w:proofErr w:type="spellStart"/>
      <w:r w:rsidR="00EA1465" w:rsidRPr="00EA1465">
        <w:rPr>
          <w:rStyle w:val="Ppogrubienie"/>
          <w:b w:val="0"/>
        </w:rPr>
        <w:t>final</w:t>
      </w:r>
      <w:proofErr w:type="spellEnd"/>
      <w:r w:rsidR="00EA1465">
        <w:rPr>
          <w:rStyle w:val="Ppogrubienie"/>
          <w:b w:val="0"/>
        </w:rPr>
        <w:t xml:space="preserve">. </w:t>
      </w:r>
      <w:r w:rsidR="00F3730A">
        <w:rPr>
          <w:rStyle w:val="Ppogrubienie"/>
          <w:b w:val="0"/>
        </w:rPr>
        <w:t>Wobec powyższego</w:t>
      </w:r>
      <w:r w:rsidR="005D697B">
        <w:rPr>
          <w:rStyle w:val="Ppogrubienie"/>
          <w:b w:val="0"/>
        </w:rPr>
        <w:t xml:space="preserve"> ustalono</w:t>
      </w:r>
      <w:r w:rsidR="00F3730A">
        <w:rPr>
          <w:rStyle w:val="Ppogrubienie"/>
          <w:b w:val="0"/>
        </w:rPr>
        <w:t xml:space="preserve"> jednostkowe nakłady inwestycyj</w:t>
      </w:r>
      <w:r w:rsidR="008F16CD">
        <w:rPr>
          <w:rStyle w:val="Ppogrubienie"/>
          <w:b w:val="0"/>
        </w:rPr>
        <w:t>ne na poziomie 3 mln/MW netto.</w:t>
      </w:r>
    </w:p>
    <w:p w14:paraId="62B2F0E7" w14:textId="3AAA9A3E" w:rsidR="00EA1465" w:rsidRPr="00B763E9" w:rsidRDefault="00EA1465" w:rsidP="006F728B">
      <w:pPr>
        <w:pStyle w:val="ARTartustawynprozporzdzenia"/>
        <w:ind w:firstLine="0"/>
        <w:rPr>
          <w:rStyle w:val="Ppogrubienie"/>
          <w:b w:val="0"/>
        </w:rPr>
      </w:pPr>
      <w:r>
        <w:rPr>
          <w:rStyle w:val="Ppogrubienie"/>
          <w:b w:val="0"/>
        </w:rPr>
        <w:t xml:space="preserve">Podobna sytuacja ma miejsce w przypadku jednostkowych nakładów inwestycyjnych uprawniających do umów mocowych 5 letnich. Zgodnie z danymi przedstawionymi przez OSP, jedynie najbardziej kapitałochłonne modernizacje są w stanie sprostać progowi 0,5 mln zł/MW. W tym przypadku Zespół Doradczy </w:t>
      </w:r>
      <w:r w:rsidR="005D697B">
        <w:rPr>
          <w:rStyle w:val="Ppogrubienie"/>
          <w:b w:val="0"/>
        </w:rPr>
        <w:t>za</w:t>
      </w:r>
      <w:r>
        <w:rPr>
          <w:rStyle w:val="Ppogrubienie"/>
          <w:b w:val="0"/>
        </w:rPr>
        <w:t>rekomendował pozostawienie progu 0,5 mln zł/MW w aukcji dla rok</w:t>
      </w:r>
      <w:r w:rsidR="00F3730A">
        <w:rPr>
          <w:rStyle w:val="Ppogrubienie"/>
          <w:b w:val="0"/>
        </w:rPr>
        <w:t>u</w:t>
      </w:r>
      <w:r>
        <w:rPr>
          <w:rStyle w:val="Ppogrubienie"/>
          <w:b w:val="0"/>
        </w:rPr>
        <w:t xml:space="preserve"> dostaw 2021, lecz postulował jego obniżenie dla aukcji głównej na rok dostaw 2022 oraz 2023 do wartości 0,4 mln zł/MW. </w:t>
      </w:r>
      <w:r w:rsidR="008F5288">
        <w:rPr>
          <w:rStyle w:val="Ppogrubienie"/>
          <w:b w:val="0"/>
        </w:rPr>
        <w:t>Podobnie</w:t>
      </w:r>
      <w:r w:rsidR="00F3730A">
        <w:rPr>
          <w:rStyle w:val="Ppogrubienie"/>
          <w:b w:val="0"/>
        </w:rPr>
        <w:t>,</w:t>
      </w:r>
      <w:r w:rsidR="008F5288">
        <w:rPr>
          <w:rStyle w:val="Ppogrubienie"/>
          <w:b w:val="0"/>
        </w:rPr>
        <w:t xml:space="preserve"> jak to miało miejsce w przypadku nakładów jednostkowych uprawniających do kontraktu 15 letniego, zmiana ta mogłaby stanowić </w:t>
      </w:r>
      <w:r w:rsidR="008F5288" w:rsidRPr="008F5288">
        <w:rPr>
          <w:rStyle w:val="Ppogrubienie"/>
          <w:b w:val="0"/>
        </w:rPr>
        <w:t xml:space="preserve">naruszenie decyzji Komisji Europejskiej z dnia 7 lutego 2018 r. C(2018) 601 </w:t>
      </w:r>
      <w:proofErr w:type="spellStart"/>
      <w:r w:rsidR="008F5288" w:rsidRPr="008F5288">
        <w:rPr>
          <w:rStyle w:val="Ppogrubienie"/>
          <w:b w:val="0"/>
        </w:rPr>
        <w:t>final</w:t>
      </w:r>
      <w:proofErr w:type="spellEnd"/>
      <w:r w:rsidR="008F5288" w:rsidRPr="008F5288">
        <w:rPr>
          <w:rStyle w:val="Ppogrubienie"/>
          <w:b w:val="0"/>
        </w:rPr>
        <w:t>.</w:t>
      </w:r>
      <w:r w:rsidR="008F5288">
        <w:rPr>
          <w:rStyle w:val="Ppogrubienie"/>
          <w:b w:val="0"/>
        </w:rPr>
        <w:t xml:space="preserve"> </w:t>
      </w:r>
    </w:p>
    <w:p w14:paraId="05D0CA3A" w14:textId="65A937B4" w:rsidR="006F728B" w:rsidRDefault="006F728B" w:rsidP="004B2C5F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4A0FD3">
        <w:rPr>
          <w:rStyle w:val="Ppogrubienie"/>
        </w:rPr>
        <w:t>Korekcyjne współczynniki dyspozycyjności</w:t>
      </w:r>
      <w:r>
        <w:rPr>
          <w:rStyle w:val="Ppogrubienie"/>
        </w:rPr>
        <w:t xml:space="preserve"> - KWD (</w:t>
      </w:r>
      <w:r w:rsidRPr="004A0FD3">
        <w:rPr>
          <w:rStyle w:val="Ppogrubienie"/>
        </w:rPr>
        <w:t xml:space="preserve">§ </w:t>
      </w:r>
      <w:r>
        <w:rPr>
          <w:rStyle w:val="Ppogrubienie"/>
        </w:rPr>
        <w:t>11</w:t>
      </w:r>
      <w:r w:rsidRPr="004A0FD3">
        <w:rPr>
          <w:rStyle w:val="Ppogrubienie"/>
        </w:rPr>
        <w:t>)</w:t>
      </w:r>
    </w:p>
    <w:p w14:paraId="35EAD3A9" w14:textId="27CAE203" w:rsidR="006F728B" w:rsidRPr="00E9448A" w:rsidRDefault="006F728B" w:rsidP="006F728B">
      <w:pPr>
        <w:pStyle w:val="ARTartustawynprozporzdzenia"/>
      </w:pPr>
      <w:r>
        <w:t>Korekcyjne współczynniki dyspozycyjności służą</w:t>
      </w:r>
      <w:r w:rsidRPr="00550AFD">
        <w:t xml:space="preserve"> do wyznaczenia maksymalnej wielkości obowiązku mocowego danej jednostki </w:t>
      </w:r>
      <w:r>
        <w:t>rynku mocy</w:t>
      </w:r>
      <w:r w:rsidRPr="00550AFD">
        <w:t>,</w:t>
      </w:r>
      <w:r>
        <w:t xml:space="preserve"> możliwego do zaoferowania na aukcji mocy oraz rynku wtórnym</w:t>
      </w:r>
      <w:r w:rsidRPr="00550AFD">
        <w:t>.</w:t>
      </w:r>
      <w:r>
        <w:t xml:space="preserve"> W rozporządzeniu proponuje się następujący podział na grupy technologii</w:t>
      </w:r>
      <w:r w:rsidR="00F3730A">
        <w:t>,</w:t>
      </w:r>
      <w:r>
        <w:t xml:space="preserve"> dla których korekcyjne współczynniki będą określone odrębnie i </w:t>
      </w:r>
      <w:r w:rsidR="00F3730A">
        <w:t xml:space="preserve">będą </w:t>
      </w:r>
      <w:r>
        <w:t>obowiązywały w roku dostaw 2021, 2022 oraz 2023</w:t>
      </w:r>
      <w:r w:rsidRPr="00E9448A">
        <w:t>:</w:t>
      </w:r>
    </w:p>
    <w:p w14:paraId="0CC6C3E7" w14:textId="1C6ACE8C" w:rsidR="006F728B" w:rsidRPr="008854C1" w:rsidRDefault="006F728B" w:rsidP="006F728B">
      <w:pPr>
        <w:pStyle w:val="PKTpunkt"/>
      </w:pPr>
      <w:r w:rsidRPr="00E9448A">
        <w:t>1)</w:t>
      </w:r>
      <w:r w:rsidRPr="00E9448A">
        <w:tab/>
      </w:r>
      <w:r w:rsidR="008F16CD" w:rsidRPr="008F16CD">
        <w:t>turbin</w:t>
      </w:r>
      <w:r w:rsidR="008F16CD">
        <w:t>y parowy</w:t>
      </w:r>
      <w:r w:rsidR="008F16CD" w:rsidRPr="008F16CD">
        <w:t>, turbin</w:t>
      </w:r>
      <w:r w:rsidR="008F16CD">
        <w:t>y powietrzne</w:t>
      </w:r>
      <w:r w:rsidR="008F16CD" w:rsidRPr="008F16CD">
        <w:t>, ogniw</w:t>
      </w:r>
      <w:r w:rsidR="008F16CD">
        <w:t>a paliwowe oraz cykl</w:t>
      </w:r>
      <w:r w:rsidR="008F16CD" w:rsidRPr="008F16CD">
        <w:t xml:space="preserve"> </w:t>
      </w:r>
      <w:proofErr w:type="spellStart"/>
      <w:r w:rsidR="008F16CD" w:rsidRPr="008F16CD">
        <w:t>Rankine'a</w:t>
      </w:r>
      <w:proofErr w:type="spellEnd"/>
      <w:r>
        <w:t>,</w:t>
      </w:r>
    </w:p>
    <w:p w14:paraId="40562FA9" w14:textId="77777777" w:rsidR="006F728B" w:rsidRPr="008854C1" w:rsidRDefault="006F728B" w:rsidP="006F728B">
      <w:pPr>
        <w:pStyle w:val="PKTpunkt"/>
      </w:pPr>
      <w:r>
        <w:t>2)</w:t>
      </w:r>
      <w:r>
        <w:tab/>
      </w:r>
      <w:r w:rsidRPr="008854C1">
        <w:t>elektrowni</w:t>
      </w:r>
      <w:r>
        <w:t>e gazowo-parowe,</w:t>
      </w:r>
    </w:p>
    <w:p w14:paraId="456F4FD2" w14:textId="7804E980" w:rsidR="006F728B" w:rsidRPr="008854C1" w:rsidRDefault="006F728B" w:rsidP="006F728B">
      <w:pPr>
        <w:pStyle w:val="PKTpunkt"/>
      </w:pPr>
      <w:r w:rsidRPr="008854C1">
        <w:t>3)</w:t>
      </w:r>
      <w:r w:rsidRPr="008854C1">
        <w:tab/>
        <w:t>elektrowni</w:t>
      </w:r>
      <w:r>
        <w:t>e</w:t>
      </w:r>
      <w:r w:rsidRPr="008854C1">
        <w:t xml:space="preserve"> gazow</w:t>
      </w:r>
      <w:r>
        <w:t xml:space="preserve">e </w:t>
      </w:r>
      <w:r w:rsidRPr="008854C1">
        <w:t>pracując</w:t>
      </w:r>
      <w:r>
        <w:t>e</w:t>
      </w:r>
      <w:r w:rsidRPr="008854C1">
        <w:t xml:space="preserve"> w cyklu prostym oraz silnik</w:t>
      </w:r>
      <w:r>
        <w:t>i</w:t>
      </w:r>
      <w:r w:rsidRPr="008854C1">
        <w:t xml:space="preserve"> tłokow</w:t>
      </w:r>
      <w:r>
        <w:t>e</w:t>
      </w:r>
      <w:r w:rsidR="008F16CD">
        <w:t>,</w:t>
      </w:r>
    </w:p>
    <w:p w14:paraId="5A55F491" w14:textId="769CE00A" w:rsidR="006F728B" w:rsidRPr="008854C1" w:rsidRDefault="006F728B" w:rsidP="006F728B">
      <w:pPr>
        <w:pStyle w:val="PKTpunkt"/>
      </w:pPr>
      <w:r w:rsidRPr="008854C1">
        <w:t>4)</w:t>
      </w:r>
      <w:r w:rsidRPr="008854C1">
        <w:tab/>
      </w:r>
      <w:r>
        <w:t>turbiny wiatrowe</w:t>
      </w:r>
      <w:r w:rsidR="008F16CD">
        <w:t xml:space="preserve"> pracujących na lądzie,</w:t>
      </w:r>
    </w:p>
    <w:p w14:paraId="2E94513E" w14:textId="24F87615" w:rsidR="006F728B" w:rsidRPr="008854C1" w:rsidRDefault="006F728B" w:rsidP="006F728B">
      <w:pPr>
        <w:pStyle w:val="PKTpunkt"/>
      </w:pPr>
      <w:r w:rsidRPr="008854C1">
        <w:t>5)</w:t>
      </w:r>
      <w:r w:rsidRPr="008854C1">
        <w:tab/>
        <w:t>elektrowni</w:t>
      </w:r>
      <w:r>
        <w:t>e</w:t>
      </w:r>
      <w:r w:rsidRPr="008854C1">
        <w:t xml:space="preserve"> wodn</w:t>
      </w:r>
      <w:r>
        <w:t>e</w:t>
      </w:r>
      <w:r w:rsidRPr="008854C1">
        <w:t xml:space="preserve"> przepływow</w:t>
      </w:r>
      <w:r>
        <w:t>e</w:t>
      </w:r>
      <w:r w:rsidR="008F16CD">
        <w:t>,</w:t>
      </w:r>
    </w:p>
    <w:p w14:paraId="0AFD86F3" w14:textId="77777777" w:rsidR="006F728B" w:rsidRPr="008854C1" w:rsidRDefault="006F728B" w:rsidP="006F728B">
      <w:pPr>
        <w:pStyle w:val="PKTpunkt"/>
      </w:pPr>
      <w:r>
        <w:t xml:space="preserve">6) </w:t>
      </w:r>
      <w:r>
        <w:tab/>
      </w:r>
      <w:r w:rsidRPr="008854C1">
        <w:t>elektrowni szczytowo – pompow</w:t>
      </w:r>
      <w:r>
        <w:t>e</w:t>
      </w:r>
      <w:r w:rsidRPr="008854C1">
        <w:t xml:space="preserve"> oraz elektrowni</w:t>
      </w:r>
      <w:r>
        <w:t>e</w:t>
      </w:r>
      <w:r w:rsidRPr="008854C1">
        <w:t xml:space="preserve"> wodn</w:t>
      </w:r>
      <w:r>
        <w:t>e</w:t>
      </w:r>
      <w:r w:rsidRPr="008854C1">
        <w:t xml:space="preserve"> z możliwością retencji wody;</w:t>
      </w:r>
    </w:p>
    <w:p w14:paraId="3B2EE06F" w14:textId="4EB8713E" w:rsidR="006F728B" w:rsidRPr="008854C1" w:rsidRDefault="006F728B" w:rsidP="006F728B">
      <w:pPr>
        <w:pStyle w:val="PKTpunkt"/>
      </w:pPr>
      <w:r w:rsidRPr="008854C1">
        <w:lastRenderedPageBreak/>
        <w:t>7)</w:t>
      </w:r>
      <w:r w:rsidRPr="008854C1">
        <w:tab/>
        <w:t>elektrowni</w:t>
      </w:r>
      <w:r>
        <w:t>e</w:t>
      </w:r>
      <w:r w:rsidRPr="008854C1">
        <w:t xml:space="preserve"> słoneczn</w:t>
      </w:r>
      <w:r>
        <w:t>e</w:t>
      </w:r>
      <w:r w:rsidR="008F16CD">
        <w:t>,</w:t>
      </w:r>
    </w:p>
    <w:p w14:paraId="1064D918" w14:textId="5E0E7EFE" w:rsidR="006F728B" w:rsidRPr="008854C1" w:rsidRDefault="006F728B" w:rsidP="006F728B">
      <w:pPr>
        <w:pStyle w:val="PKTpunkt"/>
      </w:pPr>
      <w:r w:rsidRPr="008854C1">
        <w:t>8)</w:t>
      </w:r>
      <w:r w:rsidRPr="008854C1">
        <w:tab/>
        <w:t>magazyn</w:t>
      </w:r>
      <w:r>
        <w:t>y</w:t>
      </w:r>
      <w:r w:rsidRPr="008854C1">
        <w:t xml:space="preserve"> energii elektrycznej w postaci akumulatorów, kinetycznych zasobnik</w:t>
      </w:r>
      <w:r w:rsidR="008F16CD">
        <w:t xml:space="preserve">ów energii i </w:t>
      </w:r>
      <w:proofErr w:type="spellStart"/>
      <w:r w:rsidR="008F16CD">
        <w:t>superkondensatorów</w:t>
      </w:r>
      <w:proofErr w:type="spellEnd"/>
      <w:r w:rsidR="008F16CD">
        <w:t>,</w:t>
      </w:r>
    </w:p>
    <w:p w14:paraId="07E92E3C" w14:textId="2374A037" w:rsidR="006F728B" w:rsidRDefault="006F728B" w:rsidP="006F728B">
      <w:pPr>
        <w:pStyle w:val="PKTpunkt"/>
      </w:pPr>
      <w:r w:rsidRPr="008854C1">
        <w:t>9)</w:t>
      </w:r>
      <w:r w:rsidRPr="008854C1">
        <w:tab/>
      </w:r>
      <w:r w:rsidR="008F16CD">
        <w:t>pozostałe</w:t>
      </w:r>
      <w:r w:rsidRPr="008854C1">
        <w:t xml:space="preserve"> rodzaj</w:t>
      </w:r>
      <w:r w:rsidR="008F16CD">
        <w:t>e</w:t>
      </w:r>
      <w:r w:rsidRPr="008854C1">
        <w:t xml:space="preserve"> technologii.</w:t>
      </w:r>
    </w:p>
    <w:p w14:paraId="179F7656" w14:textId="7641CA72" w:rsidR="006F728B" w:rsidRDefault="006F728B" w:rsidP="006F728B">
      <w:pPr>
        <w:pStyle w:val="USTustnpkodeksu"/>
      </w:pPr>
      <w:r w:rsidRPr="00CB7645">
        <w:t xml:space="preserve">W przyszłości lista ta może </w:t>
      </w:r>
      <w:r w:rsidR="007D688F">
        <w:t>zostać z</w:t>
      </w:r>
      <w:r w:rsidRPr="00CB7645">
        <w:t xml:space="preserve">modyfikowana, a na pewno uzupełniania o </w:t>
      </w:r>
      <w:r>
        <w:t xml:space="preserve">nowe grupy </w:t>
      </w:r>
      <w:r w:rsidRPr="00CB7645">
        <w:t>technologii</w:t>
      </w:r>
      <w:r w:rsidR="007D688F">
        <w:t>,</w:t>
      </w:r>
      <w:r w:rsidRPr="00CB7645">
        <w:t xml:space="preserve"> </w:t>
      </w:r>
      <w:r w:rsidR="00F3730A">
        <w:t xml:space="preserve">takie </w:t>
      </w:r>
      <w:r w:rsidRPr="00CB7645">
        <w:t>jak</w:t>
      </w:r>
      <w:r w:rsidR="00FE63B5">
        <w:t xml:space="preserve"> </w:t>
      </w:r>
      <w:r w:rsidRPr="00CB7645">
        <w:t xml:space="preserve"> np. elektrownie wiatrowe na morzu lub elektrownie jądrowe.</w:t>
      </w:r>
      <w:r>
        <w:t xml:space="preserve"> Ze względu na fakt, że </w:t>
      </w:r>
      <w:r w:rsidR="00F3730A">
        <w:t xml:space="preserve">oparto </w:t>
      </w:r>
      <w:r>
        <w:t>się na tych samy danych</w:t>
      </w:r>
      <w:r w:rsidRPr="00550AFD">
        <w:t xml:space="preserve"> </w:t>
      </w:r>
      <w:r>
        <w:t>dla trzech lat dostaw, proponowane wartości są identyczne dla danej grupy dla roku dostaw 2021,</w:t>
      </w:r>
      <w:r w:rsidR="00FE63B5">
        <w:t xml:space="preserve"> </w:t>
      </w:r>
      <w:r w:rsidR="00CD6BA9">
        <w:t>2022 oraz 2023.</w:t>
      </w:r>
    </w:p>
    <w:p w14:paraId="5B8B801B" w14:textId="0FF2B438" w:rsidR="006F728B" w:rsidRDefault="006F728B" w:rsidP="006F728B">
      <w:pPr>
        <w:pStyle w:val="USTustnpkodeksu"/>
      </w:pPr>
      <w:r>
        <w:t xml:space="preserve">Wyznaczając wartości poszczególnych KWD </w:t>
      </w:r>
      <w:r w:rsidR="007D688F">
        <w:t xml:space="preserve">oparto </w:t>
      </w:r>
      <w:r>
        <w:t>się n</w:t>
      </w:r>
      <w:r w:rsidR="00030E5E">
        <w:t>a danych OSP</w:t>
      </w:r>
      <w:r>
        <w:t>, ARE</w:t>
      </w:r>
      <w:r w:rsidRPr="00D97A06">
        <w:t xml:space="preserve"> </w:t>
      </w:r>
      <w:r w:rsidR="00030E5E">
        <w:t>oraz</w:t>
      </w:r>
      <w:r>
        <w:t xml:space="preserve"> bazie lat klimatycznych</w:t>
      </w:r>
      <w:r w:rsidRPr="00384AAB">
        <w:t xml:space="preserve"> PECD, które zawierają szeregi czasowe współ</w:t>
      </w:r>
      <w:r>
        <w:t xml:space="preserve">czynnika wykorzystania mocy OZE. Na </w:t>
      </w:r>
      <w:r w:rsidRPr="00D97A06">
        <w:t xml:space="preserve">potrzeby wyznaczania proponowanych wartości KWD </w:t>
      </w:r>
      <w:r>
        <w:t>dla</w:t>
      </w:r>
      <w:r w:rsidRPr="00D97A06">
        <w:t xml:space="preserve"> elektrowni wiatrowych lądowych </w:t>
      </w:r>
      <w:r>
        <w:t>i elektrowni słonecznych analizowano okresy, w których źródła te dostarczały moc nieprzerwanie przez</w:t>
      </w:r>
      <w:r w:rsidRPr="00D97A06">
        <w:t xml:space="preserve"> co najmniej 4 godzin</w:t>
      </w:r>
      <w:r>
        <w:t>y.</w:t>
      </w:r>
      <w:r w:rsidR="00030E5E">
        <w:t xml:space="preserve"> Dla wszystkich grup technologii analizowano ich dyspozycyjność w dni od poniedziałku do piątku, z wyłą</w:t>
      </w:r>
      <w:r w:rsidR="00107BB7">
        <w:t>czeniem dni wolnych od pracy, w </w:t>
      </w:r>
      <w:r w:rsidR="00030E5E">
        <w:t>godzinach 7:00</w:t>
      </w:r>
      <w:r w:rsidR="00030E5E">
        <w:rPr>
          <w:rFonts w:cs="Times"/>
        </w:rPr>
        <w:t>÷</w:t>
      </w:r>
      <w:r w:rsidR="00030E5E">
        <w:t>22:00. Okres ten jest tożsamy z obowiązywaniem obowiązku mocowego. Zgodnie z</w:t>
      </w:r>
      <w:r w:rsidR="00D15763">
        <w:t xml:space="preserve"> przepisami</w:t>
      </w:r>
      <w:r w:rsidR="00030E5E">
        <w:t xml:space="preserve"> ustaw</w:t>
      </w:r>
      <w:r w:rsidR="00D15763">
        <w:t>y</w:t>
      </w:r>
      <w:r w:rsidR="00030E5E">
        <w:t xml:space="preserve"> oraz </w:t>
      </w:r>
      <w:r w:rsidR="00D15763">
        <w:t>rozporządzeni</w:t>
      </w:r>
      <w:r w:rsidR="00CD6BA9">
        <w:t>em</w:t>
      </w:r>
      <w:r w:rsidR="00D15763">
        <w:t xml:space="preserve"> </w:t>
      </w:r>
      <w:r w:rsidR="00030E5E">
        <w:t xml:space="preserve">Ministra Energii z dnia 18 lipca 2018 r. </w:t>
      </w:r>
      <w:r w:rsidR="00107BB7">
        <w:rPr>
          <w:i/>
        </w:rPr>
        <w:t>w </w:t>
      </w:r>
      <w:r w:rsidR="00030E5E" w:rsidRPr="00EF3322">
        <w:rPr>
          <w:i/>
        </w:rPr>
        <w:t>sprawie wykonania obowiązku mocowego, jego rozliczania i demonstrowania oraz zawierania transakcji na rynku wtórnym</w:t>
      </w:r>
      <w:r w:rsidR="007D688F">
        <w:t xml:space="preserve"> </w:t>
      </w:r>
      <w:r w:rsidR="00030E5E">
        <w:t xml:space="preserve"> (Dz. U. poz.</w:t>
      </w:r>
      <w:r w:rsidR="00030E5E" w:rsidRPr="00261CD4">
        <w:t xml:space="preserve"> 1455</w:t>
      </w:r>
      <w:r w:rsidR="00030E5E">
        <w:t xml:space="preserve">) to właśnie od poniedziałku do piątku, z wyłączeniem dni </w:t>
      </w:r>
      <w:r w:rsidR="00D15763">
        <w:t xml:space="preserve">ustawowo </w:t>
      </w:r>
      <w:r w:rsidR="00030E5E">
        <w:t>wolnych od pracy, w godzinach 7:00</w:t>
      </w:r>
      <w:r w:rsidR="00030E5E">
        <w:rPr>
          <w:rFonts w:cs="Times"/>
        </w:rPr>
        <w:t>÷</w:t>
      </w:r>
      <w:r w:rsidR="00030E5E">
        <w:t xml:space="preserve">22:00 może być ogłoszony okres zagrożenia, testowy okres zagrożenia, może być wykonana demonstracja oraz </w:t>
      </w:r>
      <w:r w:rsidR="00EF3322">
        <w:t>transakcje</w:t>
      </w:r>
      <w:r w:rsidR="00D15763">
        <w:t xml:space="preserve"> na </w:t>
      </w:r>
      <w:r w:rsidR="00030E5E">
        <w:t xml:space="preserve">rynku wtórnym. </w:t>
      </w:r>
    </w:p>
    <w:p w14:paraId="11BE74DC" w14:textId="3A894F52" w:rsidR="006F728B" w:rsidRPr="00CB7645" w:rsidRDefault="006F728B" w:rsidP="006F728B">
      <w:pPr>
        <w:pStyle w:val="USTustnpkodeksu"/>
        <w:ind w:firstLine="0"/>
      </w:pPr>
      <w:r w:rsidRPr="00D97A06">
        <w:t xml:space="preserve">Jeżeli ilość danych zebranych z jednostek istniejących w KSE nie </w:t>
      </w:r>
      <w:r>
        <w:t>była wystarczająca lub w </w:t>
      </w:r>
      <w:r w:rsidRPr="00D97A06">
        <w:t>ogóle brak</w:t>
      </w:r>
      <w:r>
        <w:t>owało danych</w:t>
      </w:r>
      <w:r w:rsidRPr="00D97A06">
        <w:t xml:space="preserve">, posłużono się </w:t>
      </w:r>
      <w:r>
        <w:t xml:space="preserve">wówczas KWD z innych państw. Niemniej jednak Zespół </w:t>
      </w:r>
      <w:r w:rsidR="009A49A7">
        <w:t xml:space="preserve">Doradczy </w:t>
      </w:r>
      <w:r>
        <w:t>zalecił</w:t>
      </w:r>
      <w:r w:rsidRPr="00BB337D">
        <w:t xml:space="preserve">, aby </w:t>
      </w:r>
      <w:r>
        <w:t>w kolejnych latach KWD</w:t>
      </w:r>
      <w:r w:rsidRPr="00BB337D">
        <w:t xml:space="preserve"> określane były na podstawie danych pochodzących z krajowych źródeł, a nie z innych rynków</w:t>
      </w:r>
      <w:r w:rsidR="00C852F9">
        <w:t xml:space="preserve"> mocy</w:t>
      </w:r>
      <w:r w:rsidRPr="00BB337D">
        <w:t>. Dlatego Zespół</w:t>
      </w:r>
      <w:r w:rsidR="00947D02">
        <w:t xml:space="preserve"> Doradczy</w:t>
      </w:r>
      <w:r w:rsidRPr="00BB337D">
        <w:t xml:space="preserve"> </w:t>
      </w:r>
      <w:r w:rsidR="00D15763">
        <w:t>za</w:t>
      </w:r>
      <w:r w:rsidR="00D15763" w:rsidRPr="00BB337D">
        <w:t>rekomend</w:t>
      </w:r>
      <w:r w:rsidR="00D15763">
        <w:t xml:space="preserve">ował </w:t>
      </w:r>
      <w:r w:rsidRPr="00BB337D">
        <w:t>próbę pozyskania takich danych przez OSP w kolejnych latach dla źródeł, które pracu</w:t>
      </w:r>
      <w:r w:rsidR="00C852F9">
        <w:t>ją w </w:t>
      </w:r>
      <w:r>
        <w:t>Polsce np. bloki gazowo-parowe.</w:t>
      </w:r>
      <w:r w:rsidR="00D15763">
        <w:t xml:space="preserve"> </w:t>
      </w:r>
      <w:r w:rsidR="00947D02">
        <w:t xml:space="preserve">Zespół Doradczy generalnie aprobował przyjętą przez OSP metodologie wyznaczania KWD, poza wyznaczeniem KWD dla pozostałych technologii. Po uwagach Zespołu Doradczego OSP dokonało korekty przyjętej metodologii dla tej grupy. </w:t>
      </w:r>
    </w:p>
    <w:p w14:paraId="53C3EFB6" w14:textId="40B4D8CD" w:rsidR="00FE63B5" w:rsidRPr="003049C5" w:rsidRDefault="006F728B" w:rsidP="007D688F">
      <w:pPr>
        <w:pStyle w:val="ARTartustawynprozporzdzenia"/>
        <w:rPr>
          <w:rStyle w:val="Ppogrubienie"/>
          <w:b w:val="0"/>
        </w:rPr>
      </w:pPr>
      <w:r>
        <w:t>Należy zwrócić uwagę, że nie określono korekcyjnego współczynnika dyspozycyjności dla jednostek redukcji zapotrzebowania, bowiem zgodnie z art. 94 ust. 6 ustawy współczynnik dla tych jednostek dla okresów dostaw 2021 - 2023 wynosi 1 (100%)</w:t>
      </w:r>
      <w:r w:rsidR="00FE63B5">
        <w:t>.</w:t>
      </w:r>
    </w:p>
    <w:p w14:paraId="5C0DE203" w14:textId="333074A8" w:rsidR="006F728B" w:rsidRDefault="006F728B" w:rsidP="00947D02">
      <w:pPr>
        <w:pStyle w:val="ARTartustawynprozporzdzenia"/>
        <w:numPr>
          <w:ilvl w:val="1"/>
          <w:numId w:val="4"/>
        </w:numPr>
        <w:rPr>
          <w:rStyle w:val="Ppogrubienie"/>
        </w:rPr>
      </w:pPr>
      <w:r w:rsidRPr="00D71CB5">
        <w:rPr>
          <w:rStyle w:val="Ppogrubienie"/>
        </w:rPr>
        <w:lastRenderedPageBreak/>
        <w:t>Maksymalne wolumeny obowiązków mocowych dla stref, o których mowa w art. 6 ust. 6 ustawy</w:t>
      </w:r>
      <w:r>
        <w:rPr>
          <w:rStyle w:val="Ppogrubienie"/>
        </w:rPr>
        <w:t xml:space="preserve"> (</w:t>
      </w:r>
      <w:r w:rsidRPr="00D71CB5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D71CB5">
        <w:rPr>
          <w:rStyle w:val="Ppogrubienie"/>
        </w:rPr>
        <w:t>)</w:t>
      </w:r>
    </w:p>
    <w:p w14:paraId="1BA48102" w14:textId="39D42667" w:rsidR="006F728B" w:rsidRDefault="006F728B" w:rsidP="00C01CA4">
      <w:pPr>
        <w:pStyle w:val="ARTartustawynprozporzdzenia"/>
        <w:ind w:firstLine="708"/>
      </w:pPr>
      <w:r w:rsidRPr="0037771C">
        <w:t>Z uwagi</w:t>
      </w:r>
      <w:r w:rsidR="00D15763">
        <w:t xml:space="preserve"> na fakt</w:t>
      </w:r>
      <w:r w:rsidRPr="0037771C">
        <w:t>, że</w:t>
      </w:r>
      <w:r w:rsidR="00D15763">
        <w:t xml:space="preserve"> zgodnie z przepisami art. 92 ustawy,</w:t>
      </w:r>
      <w:r w:rsidRPr="0037771C">
        <w:t xml:space="preserve"> </w:t>
      </w:r>
      <w:r w:rsidR="00D15763" w:rsidRPr="0037771C">
        <w:t xml:space="preserve">jednostki rynku mocy zagraniczne nie będą brały udziału </w:t>
      </w:r>
      <w:r w:rsidR="00D15763">
        <w:t>w aukcjach głównych</w:t>
      </w:r>
      <w:r w:rsidR="00D15763" w:rsidRPr="0037771C">
        <w:t xml:space="preserve"> </w:t>
      </w:r>
      <w:r w:rsidRPr="0037771C">
        <w:t>na rok dostaw 2021, 2022 oraz 2023</w:t>
      </w:r>
      <w:r>
        <w:t xml:space="preserve">, wartości </w:t>
      </w:r>
      <w:r w:rsidR="00D32182">
        <w:t>wolumenów</w:t>
      </w:r>
      <w:r w:rsidR="008F16CD" w:rsidRPr="008F16CD">
        <w:t xml:space="preserve"> obowiązków mocowych </w:t>
      </w:r>
      <w:r>
        <w:t xml:space="preserve">dla stref, o których mowa w art. 6 ust 6 ustawy </w:t>
      </w:r>
      <w:r w:rsidR="00C01CA4">
        <w:t xml:space="preserve">będą </w:t>
      </w:r>
      <w:r>
        <w:t>równe zeru.</w:t>
      </w:r>
    </w:p>
    <w:p w14:paraId="5E25180B" w14:textId="02380AF3" w:rsidR="00D15763" w:rsidRDefault="007D688F" w:rsidP="00D32182">
      <w:pPr>
        <w:pStyle w:val="ARTartustawynprozporzdzenia"/>
        <w:ind w:firstLine="851"/>
        <w:rPr>
          <w:rStyle w:val="Ppogrubienie"/>
        </w:rPr>
      </w:pPr>
      <w:r>
        <w:rPr>
          <w:rStyle w:val="Ppogrubienie"/>
        </w:rPr>
        <w:t>4</w:t>
      </w:r>
      <w:r w:rsidR="000246BF">
        <w:rPr>
          <w:rStyle w:val="Ppogrubienie"/>
        </w:rPr>
        <w:t>. Wejście w życie rozporządzenia</w:t>
      </w:r>
    </w:p>
    <w:p w14:paraId="3CF87FFA" w14:textId="261304FA" w:rsidR="007D688F" w:rsidRDefault="000246BF" w:rsidP="00947D02">
      <w:pPr>
        <w:pStyle w:val="ARTartustawynprozporzdzenia"/>
      </w:pPr>
      <w:r w:rsidRPr="00D74F57">
        <w:t>Zgodnie z przepisem końcowym rozporządzenie wchodzi w życie z dniem następującym po dniu ogłoszenia. Termin ten wynika z konieczności możliwie wczesnego wejścia w życie regulacji, jako aktu prawnego niezbędnego do prawidłow</w:t>
      </w:r>
      <w:r w:rsidR="00947D02">
        <w:t>ego przeprowadzenia aukcji mocy.</w:t>
      </w:r>
      <w:r w:rsidR="00947D02">
        <w:rPr>
          <w:rStyle w:val="Ppogrubienie"/>
          <w:b w:val="0"/>
        </w:rPr>
        <w:t xml:space="preserve"> </w:t>
      </w:r>
      <w:r w:rsidR="0040407B">
        <w:t xml:space="preserve">Zgodnie </w:t>
      </w:r>
      <w:r>
        <w:t xml:space="preserve">bowiem </w:t>
      </w:r>
      <w:r w:rsidR="0040407B">
        <w:t>z</w:t>
      </w:r>
      <w:r w:rsidR="0040407B" w:rsidRPr="0040407B">
        <w:t xml:space="preserve"> art. 94 ust. 7 ww. ustawy</w:t>
      </w:r>
      <w:r>
        <w:t>, projektowane rozporządzenie powinno zostać wydane przez</w:t>
      </w:r>
      <w:r w:rsidR="0040407B" w:rsidRPr="0040407B">
        <w:t xml:space="preserve"> Ministra Energii</w:t>
      </w:r>
      <w:r w:rsidR="0040407B">
        <w:t xml:space="preserve"> do dni</w:t>
      </w:r>
      <w:r>
        <w:t>a</w:t>
      </w:r>
      <w:r w:rsidR="0040407B">
        <w:t xml:space="preserve"> </w:t>
      </w:r>
      <w:r w:rsidR="0040407B" w:rsidRPr="0040407B">
        <w:t>22 sierpnia 2018 r.</w:t>
      </w:r>
      <w:r>
        <w:t>, z</w:t>
      </w:r>
      <w:r w:rsidR="0040407B">
        <w:t xml:space="preserve"> k</w:t>
      </w:r>
      <w:r w:rsidR="00107BB7">
        <w:t>olei zgodnie z art. 94 ust. 8 w </w:t>
      </w:r>
      <w:r w:rsidR="0040407B">
        <w:t>dniu 5 września br</w:t>
      </w:r>
      <w:r w:rsidR="00613A42">
        <w:t>.</w:t>
      </w:r>
      <w:r w:rsidR="0040407B">
        <w:t xml:space="preserve">, rozpoczyna się certyfikacja do aukcji, podczas której będą tworzone jednostki rynku mocy (JRM) oraz nastąpi wiążąca deklaracja z jaką mocą utworzone jednostki będą startowały na aukcji. Podczas tej certyfikacji nastąpi kwalifikacja JRM jako </w:t>
      </w:r>
      <w:r>
        <w:t xml:space="preserve">nowej </w:t>
      </w:r>
      <w:r w:rsidR="0040407B">
        <w:t>lub modernizowan</w:t>
      </w:r>
      <w:r>
        <w:t>ej,</w:t>
      </w:r>
      <w:r w:rsidR="0040407B">
        <w:t xml:space="preserve"> co uprawni</w:t>
      </w:r>
      <w:r>
        <w:t xml:space="preserve"> te jednostki</w:t>
      </w:r>
      <w:r w:rsidR="0040407B">
        <w:t xml:space="preserve"> do kontraktów wieloletnich. Taka kwalifikacja nastąpi w oparciu o jednostkowe nakłady inwestycyjne zawarte w projektowanym rozporządzeniu</w:t>
      </w:r>
      <w:r w:rsidR="007D688F">
        <w:t>, zatem</w:t>
      </w:r>
      <w:r w:rsidR="0040407B">
        <w:t xml:space="preserve"> przedsiębiorstwa energetyczne oraz aktywni odbiorcy energii elektrycznej będą mieli 14 dnia na podjęcie decyzji korporacyjnych (od 22 sierpnia do 5 września br.). Późniejsze wydanie projektowanego rozporządzenia spowoduje skrócenie tego czasu. </w:t>
      </w:r>
    </w:p>
    <w:p w14:paraId="433105B1" w14:textId="7D60FA52" w:rsidR="0040407B" w:rsidRDefault="006D1946" w:rsidP="00D32182">
      <w:pPr>
        <w:pStyle w:val="ARTartustawynprozporzdzenia"/>
        <w:ind w:firstLine="851"/>
      </w:pPr>
      <w:r>
        <w:rPr>
          <w:rStyle w:val="Ppogrubienie"/>
        </w:rPr>
        <w:t xml:space="preserve">5. </w:t>
      </w:r>
      <w:r w:rsidRPr="00D677FA">
        <w:rPr>
          <w:rStyle w:val="Ppogrubienie"/>
        </w:rPr>
        <w:t>Ocena</w:t>
      </w:r>
      <w:r>
        <w:t xml:space="preserve"> </w:t>
      </w:r>
      <w:r>
        <w:rPr>
          <w:rStyle w:val="Ppogrubienie"/>
        </w:rPr>
        <w:t>potrzeby</w:t>
      </w:r>
      <w:r w:rsidRPr="009541F6">
        <w:rPr>
          <w:rStyle w:val="Ppogrubienie"/>
        </w:rPr>
        <w:t xml:space="preserve"> notyfikacji zgodnie z przepisami dotyczącymi funkcjonowania krajowego systemu notyfikacji norm i aktów prawnych</w:t>
      </w:r>
    </w:p>
    <w:p w14:paraId="4AB434D0" w14:textId="77777777" w:rsidR="00A2265D" w:rsidRDefault="00A2265D" w:rsidP="00A2265D">
      <w:pPr>
        <w:pStyle w:val="ARTartustawynprozporzdzenia"/>
      </w:pPr>
      <w:r w:rsidRPr="00D74F57">
        <w:t xml:space="preserve">Projekt rozporządzenia nie podlega notyfikacji w trybie przewidzianym w rozporządzeniu Rady Ministrów z dnia 23 grudnia 2002 r. w sprawie sposobu funkcjonowania krajowego systemu notyfikacji norm i aktów prawnych (Dz. U. poz. 2039, z </w:t>
      </w:r>
      <w:proofErr w:type="spellStart"/>
      <w:r w:rsidRPr="00D74F57">
        <w:t>późn</w:t>
      </w:r>
      <w:proofErr w:type="spellEnd"/>
      <w:r w:rsidRPr="00D74F57">
        <w:t>. zm.).</w:t>
      </w:r>
    </w:p>
    <w:p w14:paraId="12AF1B27" w14:textId="1912B8F3" w:rsidR="006D1946" w:rsidRDefault="006D1946" w:rsidP="00D32182">
      <w:pPr>
        <w:pStyle w:val="ARTartustawynprozporzdzenia"/>
        <w:ind w:firstLine="851"/>
      </w:pPr>
      <w:r w:rsidRPr="00107BB7">
        <w:rPr>
          <w:b/>
        </w:rPr>
        <w:t>6.</w:t>
      </w:r>
      <w:r>
        <w:t xml:space="preserve"> </w:t>
      </w:r>
      <w:r w:rsidRPr="00D677FA">
        <w:rPr>
          <w:rStyle w:val="Ppogrubienie"/>
        </w:rPr>
        <w:t>Informacje na temat konsultacji</w:t>
      </w:r>
    </w:p>
    <w:p w14:paraId="21397FA8" w14:textId="3FE88B24" w:rsidR="004D572F" w:rsidRDefault="004D572F" w:rsidP="007D688F">
      <w:pPr>
        <w:pStyle w:val="ARTartustawynprozporzdzenia"/>
      </w:pPr>
      <w:r>
        <w:t xml:space="preserve">Zgodnie z </w:t>
      </w:r>
      <w:r w:rsidRPr="00B72A40">
        <w:t xml:space="preserve">art. 5 ustawy z dnia 7 lipca 2005 r. o działalności lobbingowej w procesie stanowienia prawa (Dz. U. z 2017 r. poz. 248) oraz § 4 i § 52 uchwały nr 190 Rady Ministrów z dnia 29 października 2013 r. – Regulamin pracy Rady Ministrów (M. P. z 2016 r. </w:t>
      </w:r>
      <w:r w:rsidRPr="00B72A40">
        <w:lastRenderedPageBreak/>
        <w:t xml:space="preserve">poz. 1006, z </w:t>
      </w:r>
      <w:proofErr w:type="spellStart"/>
      <w:r w:rsidRPr="00B72A40">
        <w:t>późn</w:t>
      </w:r>
      <w:proofErr w:type="spellEnd"/>
      <w:r w:rsidRPr="00B72A40">
        <w:t xml:space="preserve">. zm.), z chwilą przekazania do uzgodnień członków Rady Ministrów, projekt rozporządzenia zostanie udostępniony w Biuletynie Informacji Publicznej na stronie podmiotowej Rządowego Centrum Legislacji, w serwisie </w:t>
      </w:r>
      <w:r w:rsidR="00D32182">
        <w:t>„</w:t>
      </w:r>
      <w:r w:rsidRPr="00B72A40">
        <w:t>Rządowy Proces Legislacyjny</w:t>
      </w:r>
      <w:r w:rsidR="00D32182">
        <w:t>”</w:t>
      </w:r>
      <w:r w:rsidRPr="00B72A40">
        <w:t>.</w:t>
      </w:r>
    </w:p>
    <w:p w14:paraId="01630A93" w14:textId="469BD74B" w:rsidR="006D1946" w:rsidRPr="00D74F57" w:rsidRDefault="006D1946" w:rsidP="00D32182">
      <w:pPr>
        <w:pStyle w:val="ARTartustawynprozporzdzenia"/>
        <w:ind w:firstLine="709"/>
      </w:pPr>
      <w:r w:rsidRPr="00107BB7">
        <w:rPr>
          <w:b/>
        </w:rPr>
        <w:t>7.</w:t>
      </w:r>
      <w:r>
        <w:t xml:space="preserve"> </w:t>
      </w:r>
      <w:r w:rsidRPr="009541F6">
        <w:rPr>
          <w:rStyle w:val="Ppogrubienie"/>
        </w:rPr>
        <w:t>Ocena zgodności projektu z prawem Unii Europejskiej</w:t>
      </w:r>
    </w:p>
    <w:p w14:paraId="7EECFAC7" w14:textId="32F6B243" w:rsidR="00A2265D" w:rsidRPr="00D74F57" w:rsidRDefault="00A2265D" w:rsidP="00A2265D">
      <w:pPr>
        <w:pStyle w:val="ARTartustawynprozporzdzenia"/>
      </w:pPr>
      <w:r w:rsidRPr="00D74F57">
        <w:t>Projekt rozporządzenia jest zgodny z prawem Unii Europejskiej.</w:t>
      </w:r>
    </w:p>
    <w:p w14:paraId="645DAB63" w14:textId="77777777" w:rsidR="006F728B" w:rsidRPr="006046E7" w:rsidRDefault="006F728B" w:rsidP="006F728B">
      <w:pPr>
        <w:pStyle w:val="OZNZACZNIKAwskazanienrzacznika"/>
      </w:pPr>
    </w:p>
    <w:p w14:paraId="7884E1FB" w14:textId="77777777" w:rsidR="007C0F50" w:rsidRDefault="001020FB"/>
    <w:sectPr w:rsidR="007C0F50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7DE7" w14:textId="77777777" w:rsidR="001020FB" w:rsidRDefault="001020FB" w:rsidP="006F728B">
      <w:pPr>
        <w:spacing w:line="240" w:lineRule="auto"/>
      </w:pPr>
      <w:r>
        <w:separator/>
      </w:r>
    </w:p>
  </w:endnote>
  <w:endnote w:type="continuationSeparator" w:id="0">
    <w:p w14:paraId="4868B0E5" w14:textId="77777777" w:rsidR="001020FB" w:rsidRDefault="001020FB" w:rsidP="006F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01772"/>
      <w:docPartObj>
        <w:docPartGallery w:val="Page Numbers (Bottom of Page)"/>
        <w:docPartUnique/>
      </w:docPartObj>
    </w:sdtPr>
    <w:sdtEndPr/>
    <w:sdtContent>
      <w:p w14:paraId="20D0B946" w14:textId="6C211278" w:rsidR="006F728B" w:rsidRDefault="006F72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83">
          <w:rPr>
            <w:noProof/>
          </w:rPr>
          <w:t>11</w:t>
        </w:r>
        <w:r>
          <w:fldChar w:fldCharType="end"/>
        </w:r>
      </w:p>
    </w:sdtContent>
  </w:sdt>
  <w:p w14:paraId="0260775E" w14:textId="77777777" w:rsidR="006F728B" w:rsidRDefault="006F7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6475" w14:textId="77777777" w:rsidR="001020FB" w:rsidRDefault="001020FB" w:rsidP="006F728B">
      <w:pPr>
        <w:spacing w:line="240" w:lineRule="auto"/>
      </w:pPr>
      <w:r>
        <w:separator/>
      </w:r>
    </w:p>
  </w:footnote>
  <w:footnote w:type="continuationSeparator" w:id="0">
    <w:p w14:paraId="4894D518" w14:textId="77777777" w:rsidR="001020FB" w:rsidRDefault="001020FB" w:rsidP="006F7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7EF0" w14:textId="1FFB6A4F" w:rsidR="00595ED3" w:rsidRPr="00B371CC" w:rsidRDefault="000B51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C2583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0C2"/>
    <w:multiLevelType w:val="multilevel"/>
    <w:tmpl w:val="0415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abstractNum w:abstractNumId="1">
    <w:nsid w:val="124752F3"/>
    <w:multiLevelType w:val="multilevel"/>
    <w:tmpl w:val="0415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abstractNum w:abstractNumId="2">
    <w:nsid w:val="298A5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9D5874"/>
    <w:multiLevelType w:val="multilevel"/>
    <w:tmpl w:val="0415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abstractNum w:abstractNumId="4">
    <w:nsid w:val="3C6B221A"/>
    <w:multiLevelType w:val="multilevel"/>
    <w:tmpl w:val="0415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abstractNum w:abstractNumId="5">
    <w:nsid w:val="3EDB0D7E"/>
    <w:multiLevelType w:val="hybridMultilevel"/>
    <w:tmpl w:val="9F84F10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9F67D7C"/>
    <w:multiLevelType w:val="hybridMultilevel"/>
    <w:tmpl w:val="E372400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D9A3DB5"/>
    <w:multiLevelType w:val="multilevel"/>
    <w:tmpl w:val="0415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D3"/>
    <w:rsid w:val="000246BF"/>
    <w:rsid w:val="00030E5E"/>
    <w:rsid w:val="00056BE6"/>
    <w:rsid w:val="000B5149"/>
    <w:rsid w:val="001020FB"/>
    <w:rsid w:val="00107BB7"/>
    <w:rsid w:val="0011420E"/>
    <w:rsid w:val="001521A1"/>
    <w:rsid w:val="00164060"/>
    <w:rsid w:val="001B4037"/>
    <w:rsid w:val="00247ABA"/>
    <w:rsid w:val="0025019C"/>
    <w:rsid w:val="00275FE0"/>
    <w:rsid w:val="00284B81"/>
    <w:rsid w:val="002E5B9F"/>
    <w:rsid w:val="002F01EA"/>
    <w:rsid w:val="00305EAA"/>
    <w:rsid w:val="00367504"/>
    <w:rsid w:val="00385986"/>
    <w:rsid w:val="0040407B"/>
    <w:rsid w:val="004332D3"/>
    <w:rsid w:val="00442309"/>
    <w:rsid w:val="004A7A01"/>
    <w:rsid w:val="004B2C5F"/>
    <w:rsid w:val="004D572F"/>
    <w:rsid w:val="00531A86"/>
    <w:rsid w:val="00555E6D"/>
    <w:rsid w:val="005765D2"/>
    <w:rsid w:val="00590CDD"/>
    <w:rsid w:val="005D697B"/>
    <w:rsid w:val="00613A42"/>
    <w:rsid w:val="0068121D"/>
    <w:rsid w:val="006B2019"/>
    <w:rsid w:val="006B263A"/>
    <w:rsid w:val="006B2778"/>
    <w:rsid w:val="006C2583"/>
    <w:rsid w:val="006D1946"/>
    <w:rsid w:val="006F728B"/>
    <w:rsid w:val="007D2564"/>
    <w:rsid w:val="007D688F"/>
    <w:rsid w:val="00817C80"/>
    <w:rsid w:val="00831AA8"/>
    <w:rsid w:val="00844F28"/>
    <w:rsid w:val="00871F39"/>
    <w:rsid w:val="00894F1E"/>
    <w:rsid w:val="008A290C"/>
    <w:rsid w:val="008F16CD"/>
    <w:rsid w:val="008F5288"/>
    <w:rsid w:val="0092014B"/>
    <w:rsid w:val="009258EB"/>
    <w:rsid w:val="00947D02"/>
    <w:rsid w:val="009A49A7"/>
    <w:rsid w:val="009D65FF"/>
    <w:rsid w:val="009E053B"/>
    <w:rsid w:val="00A13577"/>
    <w:rsid w:val="00A2265D"/>
    <w:rsid w:val="00A3639D"/>
    <w:rsid w:val="00A74293"/>
    <w:rsid w:val="00AA0E18"/>
    <w:rsid w:val="00AC2FCC"/>
    <w:rsid w:val="00AD5382"/>
    <w:rsid w:val="00AE16AB"/>
    <w:rsid w:val="00AE55D1"/>
    <w:rsid w:val="00B639E0"/>
    <w:rsid w:val="00B763E9"/>
    <w:rsid w:val="00BA15B6"/>
    <w:rsid w:val="00BA7175"/>
    <w:rsid w:val="00BB0DA3"/>
    <w:rsid w:val="00C01CA4"/>
    <w:rsid w:val="00C11B98"/>
    <w:rsid w:val="00C36622"/>
    <w:rsid w:val="00C37707"/>
    <w:rsid w:val="00C647D5"/>
    <w:rsid w:val="00C84A7E"/>
    <w:rsid w:val="00C852F9"/>
    <w:rsid w:val="00CD6BA9"/>
    <w:rsid w:val="00D15763"/>
    <w:rsid w:val="00D32182"/>
    <w:rsid w:val="00D36BCF"/>
    <w:rsid w:val="00D40DED"/>
    <w:rsid w:val="00DE1126"/>
    <w:rsid w:val="00E0524E"/>
    <w:rsid w:val="00E23644"/>
    <w:rsid w:val="00EA1465"/>
    <w:rsid w:val="00ED6CCE"/>
    <w:rsid w:val="00EE15FC"/>
    <w:rsid w:val="00EF3322"/>
    <w:rsid w:val="00F23FF7"/>
    <w:rsid w:val="00F3730A"/>
    <w:rsid w:val="00FB0FFF"/>
    <w:rsid w:val="00FC36DE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F728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728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F728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F728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F728B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6F728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F728B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uiPriority w:val="1"/>
    <w:qFormat/>
    <w:rsid w:val="006F728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F728B"/>
    <w:rPr>
      <w:i/>
    </w:rPr>
  </w:style>
  <w:style w:type="paragraph" w:styleId="Stopka">
    <w:name w:val="footer"/>
    <w:basedOn w:val="Normalny"/>
    <w:link w:val="StopkaZnak"/>
    <w:uiPriority w:val="99"/>
    <w:unhideWhenUsed/>
    <w:rsid w:val="006F72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8B"/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F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D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D5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F728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728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F728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F728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F728B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6F728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F728B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uiPriority w:val="1"/>
    <w:qFormat/>
    <w:rsid w:val="006F728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F728B"/>
    <w:rPr>
      <w:i/>
    </w:rPr>
  </w:style>
  <w:style w:type="paragraph" w:styleId="Stopka">
    <w:name w:val="footer"/>
    <w:basedOn w:val="Normalny"/>
    <w:link w:val="StopkaZnak"/>
    <w:uiPriority w:val="99"/>
    <w:unhideWhenUsed/>
    <w:rsid w:val="006F72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8B"/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F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D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D5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6277AF-24A9-4FAF-9160-1773691C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 Damian</dc:creator>
  <cp:lastModifiedBy>Jolanta Szczepaniak</cp:lastModifiedBy>
  <cp:revision>2</cp:revision>
  <dcterms:created xsi:type="dcterms:W3CDTF">2018-08-07T08:08:00Z</dcterms:created>
  <dcterms:modified xsi:type="dcterms:W3CDTF">2018-08-07T08:08:00Z</dcterms:modified>
</cp:coreProperties>
</file>